
<file path=[Content_Types].xml><?xml version="1.0" encoding="utf-8"?>
<Types xmlns="http://schemas.openxmlformats.org/package/2006/content-types">
  <Default Extension="bin" ContentType="application/vnd.ms-office.activeX"/>
  <Default Extension="rels" ContentType="application/vnd.openxmlformats-package.relationships+xml"/>
  <Default Extension="wmf" ContentType="image/x-wmf"/>
  <Default Extension="xml" ContentType="application/xml"/>
  <Override PartName="/docProps/app.xml" ContentType="application/vnd.openxmlformats-officedocument.extended-properties+xml"/>
  <Override PartName="/docProps/core.xml" ContentType="application/vnd.openxmlformats-package.core-properties+xml"/>
  <Override PartName="/word/activeX/activeX1.xml" ContentType="application/vnd.ms-office.activeX+xml"/>
  <Override PartName="/word/activeX/activeX2.xml" ContentType="application/vnd.ms-office.activeX+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Relationships xmlns="http://schemas.openxmlformats.org/package/2006/relationships">
  <Relationship Id="rId1" Type="http://schemas.openxmlformats.org/officeDocument/2006/relationships/extended-properties" Target="docProps/app.xml"/>
  <Relationship Id="rId3" Type="http://schemas.openxmlformats.org/officeDocument/2006/relationships/officeDocument" Target="word/document.xml"/>
  <Relationship Id="rId4" Type="http://schemas.openxmlformats.org/package/2006/relationships/metadata/core-properties" Target="docProps/core.xml"/>
</Relationships>

</file>

<file path=word/document.xml><?xml version="1.0" encoding="utf-8"?>
<w:document xmlns:w="http://schemas.openxmlformats.org/wordprocessingml/2006/main" xmlns:w10="urn:schemas-microsoft-com:office:word" xmlns:w14="http://schemas.microsoft.com/office/word/2010/wordml" xmlns:wpc="http://schemas.microsoft.com/office/word/2010/wordprocessingCanvas" xmlns:wpg="http://schemas.microsoft.com/office/word/2010/wordprocessingGroup" xmlns:mc="http://schemas.openxmlformats.org/markup-compatibility/2006" xmlns:wpi="http://schemas.microsoft.com/office/word/2010/wordprocessingInk" xmlns:o="urn:schemas-microsoft-com:office:office" xmlns:xsi="http://www.w3.org/2001/XMLSchema-instance" xmlns:wne="http://schemas.microsoft.com/office/word/2006/wordml" xmlns:r="http://schemas.openxmlformats.org/officeDocument/2006/relationships" xmlns:taisx="http://lrs.lt/TAIS/DocPartXmlMarks" xmlns:wps="http://schemas.microsoft.com/office/word/2010/wordprocessingShape" xmlns:m="http://schemas.openxmlformats.org/officeDocument/2006/math" xmlns:v="urn:schemas-microsoft-com:vml" xmlns:wp14="http://schemas.microsoft.com/office/word/2010/wordprocessingDrawing" xmlns:wp="http://schemas.openxmlformats.org/drawingml/2006/wordprocessingDrawing" mc:Ignorable="w14 wp14">
  <w:body>
    <w:p>
      <w:pPr>
        <w:jc w:val="both"/>
        <w:rPr>
          <w:rFonts w:ascii="Times New Roman" w:hAnsi="Times New Roman"/>
        </w:rPr>
      </w:pPr>
      <w:r>
        <w:rPr>
          <w:rFonts w:ascii="Times New Roman" w:hAnsi="Times New Roman"/>
          <w:b/>
          <w:i/>
        </w:rPr>
        <w:t>Suvestinė redakcija nuo 2019-08-15</w:t>
      </w:r>
    </w:p>
    <w:p>
      <w:pPr>
        <w:jc w:val="both"/>
        <w:rPr>
          <w:rFonts w:ascii="Times New Roman" w:hAnsi="Times New Roman"/>
          <w:sz w:val="20"/>
        </w:rPr>
      </w:pPr>
    </w:p>
    <w:p>
      <w:pPr>
        <w:jc w:val="both"/>
        <w:rPr>
          <w:rFonts w:ascii="Times New Roman" w:hAnsi="Times New Roman"/>
          <w:sz w:val="20"/>
        </w:rPr>
      </w:pPr>
      <w:bookmarkStart w:id="0" w:name="_GoBack"/>
      <w:bookmarkEnd w:id="0"/>
      <w:r>
        <w:rPr>
          <w:rFonts w:ascii="Times New Roman" w:hAnsi="Times New Roman"/>
          <w:sz w:val="20"/>
          <w:i/>
        </w:rPr>
        <w:t xml:space="preserve">Įsakymas paskelbtas: Žin. 2009, Nr. </w:t>
      </w:r>
      <w:fldSimple w:instr="HYPERLINK https://www.e-tar.lt/portal/legalAct.html?documentId=TAR.F39EB18613E0">
        <w:r w:rsidRPr="00532B9F">
          <w:rPr>
            <w:rFonts w:ascii="Times New Roman" w:eastAsia="MS Mincho" w:hAnsi="Times New Roman"/>
            <w:sz w:val="20"/>
            <w:i/>
            <w:iCs/>
            <w:color w:val="0000FF" w:themeColor="hyperlink"/>
            <w:u w:val="single"/>
          </w:rPr>
          <w:t>136-5963</w:t>
        </w:r>
      </w:fldSimple>
      <w:r>
        <w:rPr>
          <w:rFonts w:ascii="Times New Roman" w:eastAsia="MS Mincho" w:hAnsi="Times New Roman"/>
          <w:sz w:val="20"/>
          <w:i/>
          <w:iCs/>
        </w:rPr>
        <w:t>; Žin. 2009, Nr. </w:t>
      </w:r>
      <w:fldSimple w:instr="HYPERLINK https://www.e-tar.lt/portal/legalAct.html?documentId=TAR.F39EB18613E0">
        <w:r w:rsidRPr="00532B9F">
          <w:rPr>
            <w:rFonts w:ascii="Times New Roman" w:eastAsia="MS Mincho" w:hAnsi="Times New Roman"/>
            <w:sz w:val="20"/>
            <w:i/>
            <w:iCs/>
            <w:color w:val="0000FF" w:themeColor="hyperlink"/>
            <w:u w:val="single"/>
          </w:rPr>
          <w:t>138-0</w:t>
        </w:r>
      </w:fldSimple>
      <w:r>
        <w:rPr>
          <w:rFonts w:ascii="Times New Roman" w:eastAsia="MS Mincho" w:hAnsi="Times New Roman"/>
          <w:sz w:val="20"/>
          <w:i/>
          <w:iCs/>
        </w:rPr>
        <w:t>, i. k. 109301MISAK00D1-677</w:t>
      </w:r>
    </w:p>
    <w:p>
      <w:pPr>
        <w:jc w:val="both"/>
        <w:rPr>
          <w:rFonts w:ascii="Times New Roman" w:hAnsi="Times New Roman"/>
          <w:sz w:val="20"/>
        </w:rPr>
      </w:pPr>
    </w:p>
    <w:p>
      <w:pPr>
        <w:rPr>
          <w:rFonts w:ascii="Times New Roman" w:hAnsi="Times New Roman"/>
          <w:sz w:val="20"/>
          <w:b/>
          <w:i/>
        </w:rPr>
      </w:pPr>
      <w:r>
        <w:rPr>
          <w:rFonts w:ascii="Times New Roman" w:hAnsi="Times New Roman"/>
          <w:sz w:val="20"/>
          <w:b/>
          <w:i/>
        </w:rPr>
        <w:t>Nauja redakcija nuo 2015-04-01:</w:t>
      </w:r>
    </w:p>
    <w:p>
      <w:pPr>
        <w:rPr>
          <w:rFonts w:ascii="Times New Roman" w:hAnsi="Times New Roman"/>
          <w:sz w:val="20"/>
          <w:i/>
        </w:rPr>
      </w:pPr>
      <w:r>
        <w:rPr>
          <w:rFonts w:ascii="Times New Roman" w:hAnsi="Times New Roman"/>
          <w:sz w:val="20"/>
          <w:i/>
        </w:rPr>
        <w:t xml:space="preserve">Nr. </w:t>
      </w:r>
      <w:fldSimple w:instr="HYPERLINK https://www.e-tar.lt/portal/legalAct.html?documentId=0ae41a20d9d511e4bddbf1b55e924c57">
        <w:r w:rsidRPr="00532B9F">
          <w:rPr>
            <w:rFonts w:ascii="Times New Roman" w:eastAsia="MS Mincho" w:hAnsi="Times New Roman"/>
            <w:sz w:val="20"/>
            <w:i/>
            <w:iCs/>
            <w:color w:val="0000FF" w:themeColor="hyperlink"/>
            <w:u w:val="single"/>
          </w:rPr>
          <w:t>D1-107</w:t>
        </w:r>
      </w:fldSimple>
      <w:r>
        <w:rPr>
          <w:rFonts w:ascii="Times New Roman" w:eastAsia="MS Mincho" w:hAnsi="Times New Roman"/>
          <w:sz w:val="20"/>
          <w:i/>
          <w:iCs/>
        </w:rPr>
        <w:t>,
2015-02-12,
paskelbta TAR 2015-04-03, i. k. 2015-05054                </w:t>
      </w:r>
    </w:p>
    <w:p>
      <w:pPr>
        <w:rPr>
          <w:rFonts w:ascii="Times New Roman" w:hAnsi="Times New Roman"/>
          <w:sz w:val="22"/>
        </w:rPr>
      </w:pPr>
    </w:p>
    <w:p>
      <w:pPr>
        <w:suppressAutoHyphens/>
        <w:jc w:val="center"/>
        <w:rPr>
          <w:b/>
          <w:lang w:eastAsia="lt-LT"/>
        </w:rPr>
      </w:pPr>
      <w:r>
        <w:rPr>
          <w:b/>
          <w:lang w:eastAsia="lt-LT"/>
        </w:rPr>
        <w:t>LIETUVOS RESPUBLIKOS APLINKOS MINISTRAS</w:t>
      </w:r>
    </w:p>
    <w:p>
      <w:pPr>
        <w:suppressAutoHyphens/>
        <w:jc w:val="center"/>
        <w:rPr>
          <w:lang w:eastAsia="lt-LT"/>
        </w:rPr>
      </w:pPr>
    </w:p>
    <w:p>
      <w:pPr>
        <w:suppressAutoHyphens/>
        <w:jc w:val="center"/>
        <w:rPr>
          <w:b/>
          <w:lang w:eastAsia="lt-LT"/>
        </w:rPr>
      </w:pPr>
      <w:r>
        <w:rPr>
          <w:b/>
          <w:lang w:eastAsia="lt-LT"/>
        </w:rPr>
        <w:t>ĮSAKYMAS</w:t>
      </w:r>
    </w:p>
    <w:p>
      <w:pPr>
        <w:suppressAutoHyphens/>
        <w:jc w:val="center"/>
        <w:rPr>
          <w:b/>
          <w:lang w:eastAsia="lt-LT"/>
        </w:rPr>
      </w:pPr>
      <w:r>
        <w:rPr>
          <w:b/>
          <w:lang w:eastAsia="lt-LT"/>
        </w:rPr>
        <w:t>DĖL DAUGIABUČIO NAMO ATNAUJINIMO (MODERNIZAVIMO)</w:t>
        <w:br/>
        <w:t>INVESTICIJŲ PLANO RENGIMO TVARKOS APRAŠO PATVIRTINIMO</w:t>
      </w:r>
    </w:p>
    <w:p>
      <w:pPr>
        <w:suppressAutoHyphens/>
        <w:rPr>
          <w:lang w:eastAsia="lt-LT"/>
        </w:rPr>
      </w:pPr>
    </w:p>
    <w:p>
      <w:pPr>
        <w:suppressAutoHyphens/>
        <w:jc w:val="center"/>
        <w:rPr>
          <w:lang w:eastAsia="lt-LT"/>
        </w:rPr>
      </w:pPr>
      <w:r>
        <w:rPr>
          <w:lang w:eastAsia="lt-LT"/>
        </w:rPr>
        <w:t>2009 m. lapkričio 10 d. Nr. D1-677</w:t>
      </w:r>
    </w:p>
    <w:p>
      <w:pPr>
        <w:suppressAutoHyphens/>
        <w:jc w:val="center"/>
        <w:rPr>
          <w:lang w:eastAsia="lt-LT"/>
        </w:rPr>
      </w:pPr>
      <w:r>
        <w:rPr>
          <w:lang w:eastAsia="lt-LT"/>
        </w:rPr>
        <w:t>Vilnius</w:t>
      </w:r>
    </w:p>
    <w:p>
      <w:pPr>
        <w:suppressAutoHyphens/>
        <w:rPr>
          <w:lang w:eastAsia="lt-LT"/>
        </w:rPr>
      </w:pPr>
    </w:p>
    <w:p>
      <w:pPr>
        <w:suppressAutoHyphens/>
        <w:rPr>
          <w:lang w:eastAsia="lt-LT"/>
        </w:rPr>
      </w:pPr>
    </w:p>
    <w:p>
      <w:pPr>
        <w:suppressAutoHyphens/>
        <w:ind w:firstLine="567"/>
        <w:jc w:val="both"/>
        <w:rPr>
          <w:lang w:eastAsia="lt-LT"/>
        </w:rPr>
      </w:pPr>
      <w:r>
        <w:rPr>
          <w:lang w:eastAsia="lt-LT"/>
        </w:rPr>
        <w:t xml:space="preserve">Vadovaudamasis Lietuvos Respublikos Vyriausybės 2015 m. sausio 7 d. nutarimo Nr. 19 „Dėl įgaliojimų suteikimo įgyvendinant Lietuvos Respublikos valstybės paramos daugiabučiams namams atnaujinti (modernizuoti) įstatymą“ 1.1 papunkčiu: </w:t>
      </w:r>
    </w:p>
    <w:p>
      <w:pPr>
        <w:suppressAutoHyphens/>
        <w:ind w:firstLine="567"/>
        <w:jc w:val="both"/>
        <w:rPr>
          <w:lang w:eastAsia="lt-LT"/>
        </w:rPr>
      </w:pPr>
      <w:r>
        <w:rPr>
          <w:lang w:eastAsia="lt-LT"/>
        </w:rPr>
        <w:t>1</w:t>
      </w:r>
      <w:r>
        <w:rPr>
          <w:lang w:eastAsia="lt-LT"/>
        </w:rPr>
        <w:t xml:space="preserve">. T v i r t i n u Daugiabučio namo atnaujinimo (modernizavimo) investicijų plano rengimo tvarkos aprašą (pridedama). </w:t>
      </w:r>
    </w:p>
    <w:p>
      <w:pPr>
        <w:pStyle w:val="PlainText"/>
        <w:ind w:firstLine="567"/>
        <w:jc w:val="both"/>
        <w:rPr>
          <w:rFonts w:ascii="Times New Roman" w:hAnsi="Times New Roman"/>
          <w:b/>
          <w:bCs/>
          <w:sz w:val="22"/>
        </w:rPr>
      </w:pPr>
      <w:r>
        <w:rPr>
          <w:rFonts w:ascii="Times New Roman" w:hAnsi="Times New Roman"/>
          <w:sz w:val="22"/>
        </w:rPr>
        <w:t>2</w:t>
      </w:r>
      <w:r>
        <w:rPr>
          <w:rFonts w:ascii="Times New Roman" w:hAnsi="Times New Roman"/>
          <w:sz w:val="22"/>
        </w:rPr>
        <w:t>.</w:t>
      </w:r>
      <w:r>
        <w:rPr>
          <w:rFonts w:ascii="Times New Roman" w:eastAsia="MS Mincho" w:hAnsi="Times New Roman"/>
          <w:sz w:val="20"/>
          <w:i/>
          <w:iCs/>
        </w:rPr>
        <w:t xml:space="preserve"> Neteko galios nuo 2019-08-15</w:t>
      </w:r>
    </w:p>
    <w:p>
      <w:pPr>
        <w:pStyle w:val="PlainText"/>
        <w:rPr>
          <w:rFonts w:ascii="Times New Roman" w:eastAsia="MS Mincho" w:hAnsi="Times New Roman"/>
          <w:sz w:val="20"/>
          <w:i/>
          <w:iCs/>
        </w:rPr>
      </w:pPr>
      <w:r>
        <w:rPr>
          <w:rFonts w:ascii="Times New Roman" w:eastAsia="MS Mincho" w:hAnsi="Times New Roman"/>
          <w:sz w:val="20"/>
          <w:i/>
          <w:iCs/>
        </w:rPr>
        <w:t>Punkto naikinimas:</w:t>
      </w:r>
    </w:p>
    <w:p>
      <w:pPr>
        <w:pStyle w:val="PlainText"/>
        <w:jc w:val="both"/>
        <w:rPr>
          <w:rFonts w:ascii="Times New Roman" w:eastAsia="MS Mincho" w:hAnsi="Times New Roman"/>
          <w:sz w:val="20"/>
          <w:i/>
          <w:iCs/>
        </w:rPr>
      </w:pPr>
      <w:r>
        <w:rPr>
          <w:rFonts w:ascii="Times New Roman" w:eastAsia="MS Mincho" w:hAnsi="Times New Roman"/>
          <w:sz w:val="20"/>
          <w:i/>
          <w:iCs/>
        </w:rPr>
        <w:t xml:space="preserve">Nr. </w:t>
      </w:r>
      <w:fldSimple w:instr="HYPERLINK https://www.e-tar.lt/portal/legalAct.html?documentId=edc5df10be8011e9840ec0427c781bac">
        <w:r w:rsidRPr="00532B9F">
          <w:rPr>
            <w:rFonts w:ascii="Times New Roman" w:eastAsia="MS Mincho" w:hAnsi="Times New Roman"/>
            <w:sz w:val="20"/>
            <w:i/>
            <w:iCs/>
            <w:color w:val="0000FF" w:themeColor="hyperlink"/>
            <w:u w:val="single"/>
          </w:rPr>
          <w:t>D1-488</w:t>
        </w:r>
      </w:fldSimple>
      <w:r>
        <w:rPr>
          <w:rFonts w:ascii="Times New Roman" w:eastAsia="MS Mincho" w:hAnsi="Times New Roman"/>
          <w:sz w:val="20"/>
          <w:i/>
          <w:iCs/>
        </w:rPr>
        <w:t>,
2019-08-14,
paskelbta TAR 2019-08-14, i. k. 2019-13160        </w:t>
      </w:r>
    </w:p>
    <w:p/>
    <w:p>
      <w:pPr>
        <w:suppressAutoHyphens/>
        <w:ind w:firstLine="567"/>
        <w:jc w:val="both"/>
      </w:pPr>
      <w:r>
        <w:rPr>
          <w:szCs w:val="24"/>
          <w:lang w:eastAsia="lt-LT"/>
        </w:rPr>
        <w:t>3</w:t>
      </w:r>
      <w:r>
        <w:rPr>
          <w:szCs w:val="24"/>
          <w:lang w:eastAsia="lt-LT"/>
        </w:rPr>
        <w:t>. Nustatau, kad įgyvendinus daugiabučio namo atnaujinimo (modernizavimo) priemones, pastato energinio naudingumo sertifikatas gali būti rengiamas pagal pastatų energinio naudingumo sertifikavimo metodikos reikalavimus, taikytus rengiant pastato energinio naudingumo sertifikatą prieš daugiabučio namo atnaujinimo (modernizavimo) priemonių įgyvendinimą.</w:t>
      </w:r>
      <w:r>
        <w:t xml:space="preserve"> </w:t>
      </w:r>
    </w:p>
    <w:p>
      <w:pPr>
        <w:pStyle w:val="PlainText"/>
        <w:rPr>
          <w:rFonts w:ascii="Times New Roman" w:eastAsia="MS Mincho" w:hAnsi="Times New Roman"/>
          <w:sz w:val="20"/>
          <w:i/>
          <w:iCs/>
        </w:rPr>
      </w:pPr>
      <w:r>
        <w:rPr>
          <w:rFonts w:ascii="Times New Roman" w:eastAsia="MS Mincho" w:hAnsi="Times New Roman"/>
          <w:sz w:val="20"/>
          <w:i/>
          <w:iCs/>
        </w:rPr>
        <w:t>Papildyta punktu:</w:t>
      </w:r>
    </w:p>
    <w:p>
      <w:pPr>
        <w:pStyle w:val="PlainText"/>
        <w:jc w:val="both"/>
        <w:rPr>
          <w:rFonts w:ascii="Times New Roman" w:eastAsia="MS Mincho" w:hAnsi="Times New Roman"/>
          <w:sz w:val="20"/>
          <w:i/>
          <w:iCs/>
        </w:rPr>
      </w:pPr>
      <w:r>
        <w:rPr>
          <w:rFonts w:ascii="Times New Roman" w:eastAsia="MS Mincho" w:hAnsi="Times New Roman"/>
          <w:sz w:val="20"/>
          <w:i/>
          <w:iCs/>
        </w:rPr>
        <w:t xml:space="preserve">Nr. </w:t>
      </w:r>
      <w:fldSimple w:instr="HYPERLINK https://www.e-tar.lt/portal/legalAct.html?documentId=e2bbcad03cc511e5aee6f3ae4a9cfa2d">
        <w:r w:rsidRPr="00532B9F">
          <w:rPr>
            <w:rFonts w:ascii="Times New Roman" w:eastAsia="MS Mincho" w:hAnsi="Times New Roman"/>
            <w:sz w:val="20"/>
            <w:i/>
            <w:iCs/>
            <w:color w:val="0000FF" w:themeColor="hyperlink"/>
            <w:u w:val="single"/>
          </w:rPr>
          <w:t>D1-580</w:t>
        </w:r>
      </w:fldSimple>
      <w:r>
        <w:rPr>
          <w:rFonts w:ascii="Times New Roman" w:eastAsia="MS Mincho" w:hAnsi="Times New Roman"/>
          <w:sz w:val="20"/>
          <w:i/>
          <w:iCs/>
        </w:rPr>
        <w:t>,
2015-08-04,
paskelbta TAR 2015-08-07, i. k. 2015-12093        </w:t>
      </w:r>
    </w:p>
    <w:p/>
    <w:p>
      <w:pPr>
        <w:widowControl w:val="0"/>
        <w:tabs>
          <w:tab w:val="right" w:pos="9071"/>
        </w:tabs>
        <w:suppressAutoHyphens/>
      </w:pPr>
    </w:p>
    <w:p>
      <w:pPr>
        <w:widowControl w:val="0"/>
        <w:tabs>
          <w:tab w:val="right" w:pos="9071"/>
        </w:tabs>
        <w:suppressAutoHyphens/>
      </w:pPr>
    </w:p>
    <w:p>
      <w:pPr>
        <w:widowControl w:val="0"/>
        <w:tabs>
          <w:tab w:val="right" w:pos="9071"/>
        </w:tabs>
        <w:suppressAutoHyphens/>
      </w:pPr>
    </w:p>
    <w:p>
      <w:pPr>
        <w:widowControl w:val="0"/>
        <w:tabs>
          <w:tab w:val="right" w:pos="9071"/>
        </w:tabs>
        <w:suppressAutoHyphens/>
        <w:rPr>
          <w:caps/>
          <w:color w:val="000000"/>
        </w:rPr>
      </w:pPr>
      <w:r>
        <w:rPr>
          <w:caps/>
          <w:color w:val="000000"/>
        </w:rPr>
        <w:t>Aplinkos ministras</w:t>
        <w:tab/>
        <w:t>Gediminas Kazlauskas</w:t>
      </w:r>
    </w:p>
    <w:p>
      <w:pPr>
        <w:shd w:val="clear" w:color="000000" w:fill="auto"/>
        <w:ind w:left="4820"/>
        <w:sectPr>
          <w:pgSz w:w="11907" w:h="16840" w:code="9"/>
          <w:pgMar w:top="851" w:right="708" w:bottom="1134" w:left="1701" w:header="709" w:footer="709" w:gutter="0"/>
          <w:cols w:space="708"/>
          <w:docGrid w:linePitch="326"/>
        </w:sectPr>
      </w:pPr>
    </w:p>
    <w:p>
      <w:pPr>
        <w:shd w:val="clear" w:color="000000" w:fill="auto"/>
        <w:ind w:left="4820"/>
        <w:rPr>
          <w:szCs w:val="24"/>
        </w:rPr>
      </w:pPr>
      <w:r>
        <w:rPr>
          <w:szCs w:val="24"/>
        </w:rPr>
        <w:t>PATVIRTINTA</w:t>
      </w:r>
    </w:p>
    <w:p>
      <w:pPr>
        <w:shd w:val="clear" w:color="000000" w:fill="auto"/>
        <w:ind w:left="4820"/>
        <w:rPr>
          <w:szCs w:val="24"/>
        </w:rPr>
      </w:pPr>
      <w:r>
        <w:rPr>
          <w:szCs w:val="24"/>
        </w:rPr>
        <w:t>Lietuvos Respublikos aplinkos ministro</w:t>
      </w:r>
    </w:p>
    <w:p>
      <w:pPr>
        <w:shd w:val="clear" w:color="000000" w:fill="auto"/>
        <w:ind w:left="4820"/>
        <w:rPr>
          <w:szCs w:val="24"/>
        </w:rPr>
      </w:pPr>
      <w:r>
        <w:rPr>
          <w:szCs w:val="24"/>
        </w:rPr>
        <w:t xml:space="preserve">2015 m. vasario 12  d. įsakymu Nr. D1-107</w:t>
      </w:r>
    </w:p>
    <w:p>
      <w:pPr>
        <w:shd w:val="clear" w:color="000000" w:fill="auto"/>
        <w:tabs>
          <w:tab w:val="left" w:pos="4842"/>
        </w:tabs>
      </w:pPr>
    </w:p>
    <w:p>
      <w:pPr>
        <w:shd w:val="clear" w:color="000000" w:fill="auto"/>
        <w:rPr>
          <w:sz w:val="22"/>
          <w:szCs w:val="22"/>
        </w:rPr>
      </w:pPr>
    </w:p>
    <w:p>
      <w:pPr>
        <w:shd w:val="clear" w:color="000000" w:fill="auto"/>
        <w:jc w:val="center"/>
        <w:rPr>
          <w:b/>
          <w:caps/>
          <w:szCs w:val="24"/>
        </w:rPr>
      </w:pPr>
      <w:r>
        <w:rPr>
          <w:b/>
          <w:caps/>
          <w:szCs w:val="24"/>
        </w:rPr>
        <w:t>Daugiabučio namo atnaujinimo (modernizavimo) INVESTICIJŲ PLANO rengimo tvarkos Aprašas</w:t>
      </w:r>
    </w:p>
    <w:p>
      <w:pPr>
        <w:shd w:val="clear" w:color="000000" w:fill="auto"/>
        <w:jc w:val="center"/>
        <w:rPr>
          <w:b/>
          <w:szCs w:val="24"/>
        </w:rPr>
      </w:pPr>
    </w:p>
    <w:p>
      <w:pPr>
        <w:shd w:val="clear" w:color="000000" w:fill="auto"/>
        <w:jc w:val="center"/>
        <w:rPr>
          <w:b/>
          <w:caps/>
          <w:szCs w:val="24"/>
        </w:rPr>
      </w:pPr>
      <w:r>
        <w:rPr>
          <w:b/>
          <w:caps/>
          <w:szCs w:val="24"/>
        </w:rPr>
        <w:t>I</w:t>
      </w:r>
      <w:r>
        <w:rPr>
          <w:b/>
          <w:caps/>
          <w:szCs w:val="24"/>
        </w:rPr>
        <w:t xml:space="preserve">. </w:t>
      </w:r>
      <w:r>
        <w:rPr>
          <w:b/>
          <w:caps/>
          <w:szCs w:val="24"/>
        </w:rPr>
        <w:t>Bendrosios nuostatos</w:t>
      </w:r>
    </w:p>
    <w:p>
      <w:pPr>
        <w:shd w:val="clear" w:color="000000" w:fill="auto"/>
        <w:jc w:val="center"/>
        <w:rPr>
          <w:b/>
          <w:caps/>
          <w:szCs w:val="24"/>
        </w:rPr>
      </w:pPr>
    </w:p>
    <w:p>
      <w:pPr>
        <w:shd w:val="clear" w:color="000000" w:fill="auto"/>
        <w:tabs>
          <w:tab w:val="left" w:pos="0"/>
        </w:tabs>
        <w:suppressAutoHyphens/>
        <w:ind w:firstLine="567"/>
        <w:jc w:val="both"/>
        <w:rPr>
          <w:szCs w:val="24"/>
        </w:rPr>
      </w:pPr>
      <w:r>
        <w:rPr>
          <w:szCs w:val="24"/>
          <w:lang w:eastAsia="lt-LT"/>
        </w:rPr>
        <w:t>1</w:t>
      </w:r>
      <w:r>
        <w:rPr>
          <w:szCs w:val="24"/>
          <w:lang w:eastAsia="lt-LT"/>
        </w:rPr>
        <w:t>. Daugiabučio namo atnaujinimo (modernizavimo) investicijų plano rengimo tvarkos aprašas (toliau – Tvarkos aprašas) nustato Daugiabučio namo atnaujinimo (modernizavimo) investicijų plano (toliau – Investicijų planas) rengimo tvarką.</w:t>
      </w:r>
      <w:r>
        <w:t xml:space="preserve"> </w:t>
      </w:r>
    </w:p>
    <w:p>
      <w:pPr>
        <w:pStyle w:val="PlainText"/>
        <w:rPr>
          <w:rFonts w:ascii="Times New Roman" w:eastAsia="MS Mincho" w:hAnsi="Times New Roman"/>
          <w:sz w:val="20"/>
          <w:i/>
          <w:iCs/>
        </w:rPr>
      </w:pPr>
      <w:r>
        <w:rPr>
          <w:rFonts w:ascii="Times New Roman" w:eastAsia="MS Mincho" w:hAnsi="Times New Roman"/>
          <w:sz w:val="20"/>
          <w:i/>
          <w:iCs/>
        </w:rPr>
        <w:t>Punkto pakeitimai:</w:t>
      </w:r>
    </w:p>
    <w:p>
      <w:pPr>
        <w:pStyle w:val="PlainText"/>
        <w:jc w:val="both"/>
        <w:rPr>
          <w:rFonts w:ascii="Times New Roman" w:eastAsia="MS Mincho" w:hAnsi="Times New Roman"/>
          <w:sz w:val="20"/>
          <w:i/>
          <w:iCs/>
        </w:rPr>
      </w:pPr>
      <w:r>
        <w:rPr>
          <w:rFonts w:ascii="Times New Roman" w:eastAsia="MS Mincho" w:hAnsi="Times New Roman"/>
          <w:sz w:val="20"/>
          <w:i/>
          <w:iCs/>
        </w:rPr>
        <w:t xml:space="preserve">Nr. </w:t>
      </w:r>
      <w:fldSimple w:instr="HYPERLINK https://www.e-tar.lt/portal/legalAct.html?documentId=df803f70257a11e5bf92d6af3f6a2e8b">
        <w:r w:rsidRPr="00532B9F">
          <w:rPr>
            <w:rFonts w:ascii="Times New Roman" w:eastAsia="MS Mincho" w:hAnsi="Times New Roman"/>
            <w:sz w:val="20"/>
            <w:i/>
            <w:iCs/>
            <w:color w:val="0000FF" w:themeColor="hyperlink"/>
            <w:u w:val="single"/>
          </w:rPr>
          <w:t>D1-491</w:t>
        </w:r>
      </w:fldSimple>
      <w:r>
        <w:rPr>
          <w:rFonts w:ascii="Times New Roman" w:eastAsia="MS Mincho" w:hAnsi="Times New Roman"/>
          <w:sz w:val="20"/>
          <w:i/>
          <w:iCs/>
        </w:rPr>
        <w:t>,
2015-06-23,
paskelbta TAR 2015-07-09, i. k. 2015-11162            </w:t>
      </w:r>
    </w:p>
    <w:p/>
    <w:p>
      <w:pPr>
        <w:tabs>
          <w:tab w:val="left" w:pos="-1843"/>
        </w:tabs>
        <w:suppressAutoHyphens/>
        <w:ind w:firstLine="567"/>
        <w:jc w:val="both"/>
        <w:rPr>
          <w:szCs w:val="24"/>
        </w:rPr>
      </w:pPr>
      <w:r>
        <w:rPr>
          <w:color w:val="000000"/>
          <w:lang w:eastAsia="lt-LT"/>
        </w:rPr>
        <w:t>2</w:t>
      </w:r>
      <w:r>
        <w:rPr>
          <w:color w:val="000000"/>
          <w:lang w:eastAsia="lt-LT"/>
        </w:rPr>
        <w:t xml:space="preserve">. Tvarkos apraše vartojamos sąvokos suprantamos kaip jos apibrėžtos Lietuvos Respublikos valstybės paramos daugiabučiams namams atnaujinti (modernizuoti) įstatyme (toliau – Valstybės paramos įstatymas), Lietuvos Respublikos statybos įstatyme (toliau – Statybos įstatymas), Lietuvos Respublikos daugiabučių gyvenamųjų namų ir kitos paskirties pastatų savininkų bendrijų įstatyme (toliau – Bendrijų įstatymas), 2011 m. kovo 9 d. Europos Parlamento ir Tarybos reglamente (ES) Nr. 305/2011, kuriuo nustatomos suderintos statybos produktų rinkodaros sąlygos ir panaikinama Tarybos direktyva 89/106/EEB (OL 2011 L 88, p. 5 – 43), statybos techniniame reglamente STR 2.01.10:2007 „Išorinės tinkuojamos sudėtinės termoizoliacinės sistemos“, patvirtintame Lietuvos Respublikos aplinkos ministro  2007 m. balandžio 17 d. įsakymu Nr. D1-219 „Dėl  statybos techninio reglamento STR 2.01.10:2007 „Išorinės tinkuojamos sudėtinės termoizoliacinės sistemos“  patvirtinimo.</w:t>
      </w:r>
      <w:r>
        <w:t xml:space="preserve"> </w:t>
      </w:r>
    </w:p>
    <w:p>
      <w:pPr>
        <w:pStyle w:val="PlainText"/>
        <w:rPr>
          <w:rFonts w:ascii="Times New Roman" w:eastAsia="MS Mincho" w:hAnsi="Times New Roman"/>
          <w:sz w:val="20"/>
          <w:i/>
          <w:iCs/>
        </w:rPr>
      </w:pPr>
      <w:r>
        <w:rPr>
          <w:rFonts w:ascii="Times New Roman" w:eastAsia="MS Mincho" w:hAnsi="Times New Roman"/>
          <w:sz w:val="20"/>
          <w:i/>
          <w:iCs/>
        </w:rPr>
        <w:t>Punkto pakeitimai:</w:t>
      </w:r>
    </w:p>
    <w:p>
      <w:pPr>
        <w:pStyle w:val="PlainText"/>
        <w:jc w:val="both"/>
        <w:rPr>
          <w:rFonts w:ascii="Times New Roman" w:eastAsia="MS Mincho" w:hAnsi="Times New Roman"/>
          <w:sz w:val="20"/>
          <w:i/>
          <w:iCs/>
        </w:rPr>
      </w:pPr>
      <w:r>
        <w:rPr>
          <w:rFonts w:ascii="Times New Roman" w:eastAsia="MS Mincho" w:hAnsi="Times New Roman"/>
          <w:sz w:val="20"/>
          <w:i/>
          <w:iCs/>
        </w:rPr>
        <w:t xml:space="preserve">Nr. </w:t>
      </w:r>
      <w:fldSimple w:instr="HYPERLINK https://www.e-tar.lt/portal/legalAct.html?documentId=c3dc8760fa1f11e8a969c20aa4d38bd4">
        <w:r w:rsidRPr="00532B9F">
          <w:rPr>
            <w:rFonts w:ascii="Times New Roman" w:eastAsia="MS Mincho" w:hAnsi="Times New Roman"/>
            <w:sz w:val="20"/>
            <w:i/>
            <w:iCs/>
            <w:color w:val="0000FF" w:themeColor="hyperlink"/>
            <w:u w:val="single"/>
          </w:rPr>
          <w:t>D1-1073</w:t>
        </w:r>
      </w:fldSimple>
      <w:r>
        <w:rPr>
          <w:rFonts w:ascii="Times New Roman" w:eastAsia="MS Mincho" w:hAnsi="Times New Roman"/>
          <w:sz w:val="20"/>
          <w:i/>
          <w:iCs/>
        </w:rPr>
        <w:t>,
2018-12-07,
paskelbta TAR 2018-12-07, i. k. 2018-20118            </w:t>
      </w:r>
    </w:p>
    <w:p/>
    <w:p>
      <w:pPr>
        <w:tabs>
          <w:tab w:val="left" w:pos="-1843"/>
        </w:tabs>
        <w:suppressAutoHyphens/>
        <w:ind w:firstLine="567"/>
        <w:jc w:val="both"/>
        <w:rPr>
          <w:szCs w:val="24"/>
        </w:rPr>
      </w:pPr>
      <w:r>
        <w:rPr>
          <w:szCs w:val="24"/>
          <w:lang w:eastAsia="lt-LT"/>
        </w:rPr>
        <w:t>3</w:t>
      </w:r>
      <w:r>
        <w:rPr>
          <w:szCs w:val="24"/>
          <w:lang w:eastAsia="lt-LT"/>
        </w:rPr>
        <w:t xml:space="preserve">. Investicijų planas yra daugiabučio namo atnaujinimo (modernizavimo) projekto rengimo etapas, kuriame, įvertinus architektūros, aplinkos, kraštovaizdžio, nekilnojamojo kultūros paveldo vertybių ir jų teritorijų apsaugos reikalavimus, pagal namo energinio naudingumo sertifikato ir namo fizinės būklės tyrimo ir vertinimo duomenis ir reikalavimus pagrindžiamos namo atnaujinimo (modernizavimo) priemonės nustatant jų energinį ir ekonominį efektyvumą, investicijų dydį ir jų paskirstymą butų ir kitų patalpų savininkams, nustatomos pagrindinės techninės užduoties sąlygos daugiabučio namo atnaujinimo (modernizavimo) techniniam darbo projektui parengti. Techninis darbo projektas rengiamas butų ir kitų patalpų savininkams Valstybės paramos įstatymo 5 straipsnio 1 dalyje nustatyta tvarka patvirtinus Investicijų planą ir suderinus su viešąja įstaiga „Būsto energijos taupymo agentūra“. Techninis darbo projektas rengiamas vadovaujantis Statybos įstatymu ir statybos techninio reglamento STR </w:t>
      </w:r>
      <w:r>
        <w:rPr>
          <w:bCs/>
          <w:szCs w:val="24"/>
          <w:lang w:eastAsia="lt-LT"/>
        </w:rPr>
        <w:t>1.04.04:2017„Statinio projektavimas, projekto ekspertizė“</w:t>
      </w:r>
      <w:r>
        <w:rPr>
          <w:szCs w:val="24"/>
          <w:lang w:val="en-US" w:eastAsia="lt-LT"/>
        </w:rPr>
        <w:t xml:space="preserve"> </w:t>
      </w:r>
      <w:r>
        <w:rPr>
          <w:szCs w:val="24"/>
          <w:lang w:eastAsia="lt-LT"/>
        </w:rPr>
        <w:t>11 priedo nuostatomis.</w:t>
      </w:r>
      <w:r>
        <w:t xml:space="preserve"> </w:t>
      </w:r>
    </w:p>
    <w:p>
      <w:pPr>
        <w:pStyle w:val="PlainText"/>
        <w:rPr>
          <w:rFonts w:ascii="Times New Roman" w:eastAsia="MS Mincho" w:hAnsi="Times New Roman"/>
          <w:sz w:val="20"/>
          <w:i/>
          <w:iCs/>
        </w:rPr>
      </w:pPr>
      <w:r>
        <w:rPr>
          <w:rFonts w:ascii="Times New Roman" w:eastAsia="MS Mincho" w:hAnsi="Times New Roman"/>
          <w:sz w:val="20"/>
          <w:i/>
          <w:iCs/>
        </w:rPr>
        <w:t>Punkto pakeitimai:</w:t>
      </w:r>
    </w:p>
    <w:p>
      <w:pPr>
        <w:pStyle w:val="PlainText"/>
        <w:jc w:val="both"/>
        <w:rPr>
          <w:rFonts w:ascii="Times New Roman" w:eastAsia="MS Mincho" w:hAnsi="Times New Roman"/>
          <w:sz w:val="20"/>
          <w:i/>
          <w:iCs/>
        </w:rPr>
      </w:pPr>
      <w:r>
        <w:rPr>
          <w:rFonts w:ascii="Times New Roman" w:eastAsia="MS Mincho" w:hAnsi="Times New Roman"/>
          <w:sz w:val="20"/>
          <w:i/>
          <w:iCs/>
        </w:rPr>
        <w:t xml:space="preserve">Nr. </w:t>
      </w:r>
      <w:fldSimple w:instr="HYPERLINK https://www.e-tar.lt/portal/legalAct.html?documentId=df803f70257a11e5bf92d6af3f6a2e8b">
        <w:r w:rsidRPr="00532B9F">
          <w:rPr>
            <w:rFonts w:ascii="Times New Roman" w:eastAsia="MS Mincho" w:hAnsi="Times New Roman"/>
            <w:sz w:val="20"/>
            <w:i/>
            <w:iCs/>
            <w:color w:val="0000FF" w:themeColor="hyperlink"/>
            <w:u w:val="single"/>
          </w:rPr>
          <w:t>D1-491</w:t>
        </w:r>
      </w:fldSimple>
      <w:r>
        <w:rPr>
          <w:rFonts w:ascii="Times New Roman" w:eastAsia="MS Mincho" w:hAnsi="Times New Roman"/>
          <w:sz w:val="20"/>
          <w:i/>
          <w:iCs/>
        </w:rPr>
        <w:t>,
2015-06-23,
paskelbta TAR 2015-07-09, i. k. 2015-11162            </w:t>
      </w:r>
    </w:p>
    <w:p>
      <w:pPr>
        <w:pStyle w:val="PlainText"/>
        <w:jc w:val="both"/>
        <w:rPr>
          <w:rFonts w:ascii="Times New Roman" w:eastAsia="MS Mincho" w:hAnsi="Times New Roman"/>
          <w:sz w:val="20"/>
          <w:i/>
          <w:iCs/>
        </w:rPr>
      </w:pPr>
      <w:r>
        <w:rPr>
          <w:rFonts w:ascii="Times New Roman" w:eastAsia="MS Mincho" w:hAnsi="Times New Roman"/>
          <w:sz w:val="20"/>
          <w:i/>
          <w:iCs/>
        </w:rPr>
        <w:t xml:space="preserve">Nr. </w:t>
      </w:r>
      <w:fldSimple w:instr="HYPERLINK https://www.e-tar.lt/portal/legalAct.html?documentId=481058507e6b11e6b969d7ae07280e89">
        <w:r w:rsidRPr="00532B9F">
          <w:rPr>
            <w:rFonts w:ascii="Times New Roman" w:eastAsia="MS Mincho" w:hAnsi="Times New Roman"/>
            <w:sz w:val="20"/>
            <w:i/>
            <w:iCs/>
            <w:color w:val="0000FF" w:themeColor="hyperlink"/>
            <w:u w:val="single"/>
          </w:rPr>
          <w:t>D1-620</w:t>
        </w:r>
      </w:fldSimple>
      <w:r>
        <w:rPr>
          <w:rFonts w:ascii="Times New Roman" w:eastAsia="MS Mincho" w:hAnsi="Times New Roman"/>
          <w:sz w:val="20"/>
          <w:i/>
          <w:iCs/>
        </w:rPr>
        <w:t>,
2016-09-19,
paskelbta TAR 2016-09-19, i. k. 2016-23697            </w:t>
      </w:r>
    </w:p>
    <w:p>
      <w:pPr>
        <w:pStyle w:val="PlainText"/>
        <w:jc w:val="both"/>
        <w:rPr>
          <w:rFonts w:ascii="Times New Roman" w:eastAsia="MS Mincho" w:hAnsi="Times New Roman"/>
          <w:sz w:val="20"/>
          <w:i/>
          <w:iCs/>
        </w:rPr>
      </w:pPr>
      <w:r>
        <w:rPr>
          <w:rFonts w:ascii="Times New Roman" w:eastAsia="MS Mincho" w:hAnsi="Times New Roman"/>
          <w:sz w:val="20"/>
          <w:i/>
          <w:iCs/>
        </w:rPr>
        <w:t xml:space="preserve">Nr. </w:t>
      </w:r>
      <w:fldSimple w:instr="HYPERLINK https://www.e-tar.lt/portal/legalAct.html?documentId=3ccee0e0a81511e78a4c904b1afa0332">
        <w:r w:rsidRPr="00532B9F">
          <w:rPr>
            <w:rFonts w:ascii="Times New Roman" w:eastAsia="MS Mincho" w:hAnsi="Times New Roman"/>
            <w:sz w:val="20"/>
            <w:i/>
            <w:iCs/>
            <w:color w:val="0000FF" w:themeColor="hyperlink"/>
            <w:u w:val="single"/>
          </w:rPr>
          <w:t>D1-805</w:t>
        </w:r>
      </w:fldSimple>
      <w:r>
        <w:rPr>
          <w:rFonts w:ascii="Times New Roman" w:eastAsia="MS Mincho" w:hAnsi="Times New Roman"/>
          <w:sz w:val="20"/>
          <w:i/>
          <w:iCs/>
        </w:rPr>
        <w:t>,
2017-10-02,
paskelbta TAR 2017-10-03, i. k. 2017-15563            </w:t>
      </w:r>
    </w:p>
    <w:p>
      <w:pPr>
        <w:pStyle w:val="PlainText"/>
        <w:jc w:val="both"/>
        <w:rPr>
          <w:rFonts w:ascii="Times New Roman" w:eastAsia="MS Mincho" w:hAnsi="Times New Roman"/>
          <w:sz w:val="20"/>
          <w:i/>
          <w:iCs/>
        </w:rPr>
      </w:pPr>
      <w:r>
        <w:rPr>
          <w:rFonts w:ascii="Times New Roman" w:eastAsia="MS Mincho" w:hAnsi="Times New Roman"/>
          <w:sz w:val="20"/>
          <w:i/>
          <w:iCs/>
        </w:rPr>
        <w:t xml:space="preserve">Nr. </w:t>
      </w:r>
      <w:fldSimple w:instr="HYPERLINK https://www.e-tar.lt/portal/legalAct.html?documentId=edc5df10be8011e9840ec0427c781bac">
        <w:r w:rsidRPr="00532B9F">
          <w:rPr>
            <w:rFonts w:ascii="Times New Roman" w:eastAsia="MS Mincho" w:hAnsi="Times New Roman"/>
            <w:sz w:val="20"/>
            <w:i/>
            <w:iCs/>
            <w:color w:val="0000FF" w:themeColor="hyperlink"/>
            <w:u w:val="single"/>
          </w:rPr>
          <w:t>D1-488</w:t>
        </w:r>
      </w:fldSimple>
      <w:r>
        <w:rPr>
          <w:rFonts w:ascii="Times New Roman" w:eastAsia="MS Mincho" w:hAnsi="Times New Roman"/>
          <w:sz w:val="20"/>
          <w:i/>
          <w:iCs/>
        </w:rPr>
        <w:t>,
2019-08-14,
paskelbta TAR 2019-08-14, i. k. 2019-13160            </w:t>
      </w:r>
    </w:p>
    <w:p/>
    <w:p>
      <w:pPr>
        <w:shd w:val="clear" w:color="000000" w:fill="auto"/>
        <w:jc w:val="center"/>
        <w:rPr>
          <w:b/>
          <w:caps/>
          <w:szCs w:val="24"/>
        </w:rPr>
      </w:pPr>
      <w:r>
        <w:rPr>
          <w:b/>
          <w:caps/>
          <w:szCs w:val="24"/>
        </w:rPr>
        <w:t>II</w:t>
      </w:r>
      <w:r>
        <w:rPr>
          <w:b/>
          <w:caps/>
          <w:szCs w:val="24"/>
        </w:rPr>
        <w:t xml:space="preserve">. </w:t>
      </w:r>
      <w:r>
        <w:rPr>
          <w:b/>
          <w:caps/>
          <w:szCs w:val="24"/>
        </w:rPr>
        <w:t>INVESTICIJŲ PLANO rengimo organizavimas</w:t>
      </w:r>
    </w:p>
    <w:p>
      <w:pPr>
        <w:shd w:val="clear" w:color="000000" w:fill="auto"/>
        <w:tabs>
          <w:tab w:val="left" w:pos="567"/>
        </w:tabs>
        <w:jc w:val="both"/>
        <w:rPr>
          <w:b/>
          <w:caps/>
          <w:szCs w:val="24"/>
        </w:rPr>
      </w:pPr>
    </w:p>
    <w:p>
      <w:pPr>
        <w:tabs>
          <w:tab w:val="left" w:pos="0"/>
        </w:tabs>
        <w:ind w:firstLine="567"/>
        <w:jc w:val="both"/>
        <w:rPr>
          <w:szCs w:val="24"/>
        </w:rPr>
      </w:pPr>
      <w:r>
        <w:rPr>
          <w:rFonts w:eastAsia="Calibri"/>
          <w:szCs w:val="24"/>
        </w:rPr>
        <w:t>4</w:t>
      </w:r>
      <w:r>
        <w:rPr>
          <w:rFonts w:eastAsia="Calibri"/>
          <w:szCs w:val="24"/>
        </w:rPr>
        <w:t>. Investicijų plano rengimą butų ir kitų patalpų savininkų sprendimu organizuoja namo bendrojo naudojimo objektų valdytojas ar pagal pavedimo sutartį veikiantis asmuo, teikiantis atnaujinimo projekto įgyvendinimo administravimo paslaugas. Investicijų plano rengimą gali organizuoti savivaldybė ar jos paskirtas savivaldybės programos įgyvendinimo administratorius. Investicijų plano rengimo organizavimo etape namo bendrojo naudojimo objektų valdytojas, pagal pavedimo sutartį veikiantis asmuo, teikiantis atnaujinimo projekto įgyvendinimo administravimo paslaugas, savivaldybė ar jos paskirtas projekto administratorius privalo informuoti daugiabučio namo butų ir kitų patalpų savininkus apie valstybės paramos daugiabučio namo butų ir kitų patalpų savininkams, įgyvendinantiems atnaujinimo projektus pagal Lietuvos Respublikos Vyriausybės patvirtintą Daugiabučių namų atnaujinimo (modernizavimo) programą ar ją atitinkančias savivaldybių programas (toliau – Programa), dydį ir išmokėjimo tvarką, daugiabučių namų atnaujinimo (modernizavimo) projekto įgyvendinimo eigą, Programos priede numatytas daugiabučių namų atnaujinimo (modernizavimo) priemones ir šių priemonių galimus įgyvendinimo būdus, atnaujinimo (modernizavimo) projekto reikalavimus, teisines pasekmes pradėjus įgyvendinti investicijų planus, bet jų neįgyvendinus.</w:t>
      </w:r>
      <w:r>
        <w:t xml:space="preserve"> </w:t>
      </w:r>
    </w:p>
    <w:p>
      <w:pPr>
        <w:pStyle w:val="PlainText"/>
        <w:rPr>
          <w:rFonts w:ascii="Times New Roman" w:eastAsia="MS Mincho" w:hAnsi="Times New Roman"/>
          <w:sz w:val="20"/>
          <w:i/>
          <w:iCs/>
        </w:rPr>
      </w:pPr>
      <w:r>
        <w:rPr>
          <w:rFonts w:ascii="Times New Roman" w:eastAsia="MS Mincho" w:hAnsi="Times New Roman"/>
          <w:sz w:val="20"/>
          <w:i/>
          <w:iCs/>
        </w:rPr>
        <w:t>Punkto pakeitimai:</w:t>
      </w:r>
    </w:p>
    <w:p>
      <w:pPr>
        <w:pStyle w:val="PlainText"/>
        <w:jc w:val="both"/>
        <w:rPr>
          <w:rFonts w:ascii="Times New Roman" w:eastAsia="MS Mincho" w:hAnsi="Times New Roman"/>
          <w:sz w:val="20"/>
          <w:i/>
          <w:iCs/>
        </w:rPr>
      </w:pPr>
      <w:r>
        <w:rPr>
          <w:rFonts w:ascii="Times New Roman" w:eastAsia="MS Mincho" w:hAnsi="Times New Roman"/>
          <w:sz w:val="20"/>
          <w:i/>
          <w:iCs/>
        </w:rPr>
        <w:t xml:space="preserve">Nr. </w:t>
      </w:r>
      <w:fldSimple w:instr="HYPERLINK https://www.e-tar.lt/portal/legalAct.html?documentId=3ccee0e0a81511e78a4c904b1afa0332">
        <w:r w:rsidRPr="00532B9F">
          <w:rPr>
            <w:rFonts w:ascii="Times New Roman" w:eastAsia="MS Mincho" w:hAnsi="Times New Roman"/>
            <w:sz w:val="20"/>
            <w:i/>
            <w:iCs/>
            <w:color w:val="0000FF" w:themeColor="hyperlink"/>
            <w:u w:val="single"/>
          </w:rPr>
          <w:t>D1-805</w:t>
        </w:r>
      </w:fldSimple>
      <w:r>
        <w:rPr>
          <w:rFonts w:ascii="Times New Roman" w:eastAsia="MS Mincho" w:hAnsi="Times New Roman"/>
          <w:sz w:val="20"/>
          <w:i/>
          <w:iCs/>
        </w:rPr>
        <w:t>,
2017-10-02,
paskelbta TAR 2017-10-03, i. k. 2017-15563            </w:t>
      </w:r>
    </w:p>
    <w:p/>
    <w:p>
      <w:pPr>
        <w:tabs>
          <w:tab w:val="left" w:pos="-1843"/>
        </w:tabs>
        <w:suppressAutoHyphens/>
        <w:spacing w:line="276" w:lineRule="auto"/>
        <w:ind w:firstLine="567"/>
        <w:jc w:val="both"/>
        <w:rPr>
          <w:szCs w:val="24"/>
        </w:rPr>
      </w:pPr>
      <w:r>
        <w:rPr>
          <w:szCs w:val="24"/>
          <w:lang w:eastAsia="lt-LT"/>
        </w:rPr>
        <w:t>5</w:t>
      </w:r>
      <w:r>
        <w:rPr>
          <w:szCs w:val="24"/>
          <w:lang w:eastAsia="lt-LT"/>
        </w:rPr>
        <w:t>. Investicijų plano rengimo paslaugos perkamos per viešosios įstaigos CPO LT, atliekančios centrinės perkančiosios organizacijos funkcijas, elektronines pirkimų sistemas.</w:t>
      </w:r>
      <w:r>
        <w:t xml:space="preserve"> </w:t>
      </w:r>
    </w:p>
    <w:p>
      <w:pPr>
        <w:pStyle w:val="PlainText"/>
        <w:rPr>
          <w:rFonts w:ascii="Times New Roman" w:eastAsia="MS Mincho" w:hAnsi="Times New Roman"/>
          <w:sz w:val="20"/>
          <w:i/>
          <w:iCs/>
        </w:rPr>
      </w:pPr>
      <w:r>
        <w:rPr>
          <w:rFonts w:ascii="Times New Roman" w:eastAsia="MS Mincho" w:hAnsi="Times New Roman"/>
          <w:sz w:val="20"/>
          <w:i/>
          <w:iCs/>
        </w:rPr>
        <w:t>Punkto pakeitimai:</w:t>
      </w:r>
    </w:p>
    <w:p>
      <w:pPr>
        <w:pStyle w:val="PlainText"/>
        <w:jc w:val="both"/>
        <w:rPr>
          <w:rFonts w:ascii="Times New Roman" w:eastAsia="MS Mincho" w:hAnsi="Times New Roman"/>
          <w:sz w:val="20"/>
          <w:i/>
          <w:iCs/>
        </w:rPr>
      </w:pPr>
      <w:r>
        <w:rPr>
          <w:rFonts w:ascii="Times New Roman" w:eastAsia="MS Mincho" w:hAnsi="Times New Roman"/>
          <w:sz w:val="20"/>
          <w:i/>
          <w:iCs/>
        </w:rPr>
        <w:t xml:space="preserve">Nr. </w:t>
      </w:r>
      <w:fldSimple w:instr="HYPERLINK https://www.e-tar.lt/portal/legalAct.html?documentId=df803f70257a11e5bf92d6af3f6a2e8b">
        <w:r w:rsidRPr="00532B9F">
          <w:rPr>
            <w:rFonts w:ascii="Times New Roman" w:eastAsia="MS Mincho" w:hAnsi="Times New Roman"/>
            <w:sz w:val="20"/>
            <w:i/>
            <w:iCs/>
            <w:color w:val="0000FF" w:themeColor="hyperlink"/>
            <w:u w:val="single"/>
          </w:rPr>
          <w:t>D1-491</w:t>
        </w:r>
      </w:fldSimple>
      <w:r>
        <w:rPr>
          <w:rFonts w:ascii="Times New Roman" w:eastAsia="MS Mincho" w:hAnsi="Times New Roman"/>
          <w:sz w:val="20"/>
          <w:i/>
          <w:iCs/>
        </w:rPr>
        <w:t>,
2015-06-23,
paskelbta TAR 2015-07-09, i. k. 2015-11162            </w:t>
      </w:r>
    </w:p>
    <w:p>
      <w:pPr>
        <w:pStyle w:val="PlainText"/>
        <w:jc w:val="both"/>
        <w:rPr>
          <w:rFonts w:ascii="Times New Roman" w:eastAsia="MS Mincho" w:hAnsi="Times New Roman"/>
          <w:sz w:val="20"/>
          <w:i/>
          <w:iCs/>
        </w:rPr>
      </w:pPr>
      <w:r>
        <w:rPr>
          <w:rFonts w:ascii="Times New Roman" w:eastAsia="MS Mincho" w:hAnsi="Times New Roman"/>
          <w:sz w:val="20"/>
          <w:i/>
          <w:iCs/>
        </w:rPr>
        <w:t xml:space="preserve">Nr. </w:t>
      </w:r>
      <w:fldSimple w:instr="HYPERLINK https://www.e-tar.lt/portal/legalAct.html?documentId=3ccee0e0a81511e78a4c904b1afa0332">
        <w:r w:rsidRPr="00532B9F">
          <w:rPr>
            <w:rFonts w:ascii="Times New Roman" w:eastAsia="MS Mincho" w:hAnsi="Times New Roman"/>
            <w:sz w:val="20"/>
            <w:i/>
            <w:iCs/>
            <w:color w:val="0000FF" w:themeColor="hyperlink"/>
            <w:u w:val="single"/>
          </w:rPr>
          <w:t>D1-805</w:t>
        </w:r>
      </w:fldSimple>
      <w:r>
        <w:rPr>
          <w:rFonts w:ascii="Times New Roman" w:eastAsia="MS Mincho" w:hAnsi="Times New Roman"/>
          <w:sz w:val="20"/>
          <w:i/>
          <w:iCs/>
        </w:rPr>
        <w:t>,
2017-10-02,
paskelbta TAR 2017-10-03, i. k. 2017-15563            </w:t>
      </w:r>
    </w:p>
    <w:p>
      <w:pPr>
        <w:pStyle w:val="PlainText"/>
        <w:jc w:val="both"/>
        <w:rPr>
          <w:rFonts w:ascii="Times New Roman" w:eastAsia="MS Mincho" w:hAnsi="Times New Roman"/>
          <w:sz w:val="20"/>
          <w:i/>
          <w:iCs/>
        </w:rPr>
      </w:pPr>
      <w:r>
        <w:rPr>
          <w:rFonts w:ascii="Times New Roman" w:eastAsia="MS Mincho" w:hAnsi="Times New Roman"/>
          <w:sz w:val="20"/>
          <w:i/>
          <w:iCs/>
        </w:rPr>
        <w:t xml:space="preserve">Nr. </w:t>
      </w:r>
      <w:fldSimple w:instr="HYPERLINK https://www.e-tar.lt/portal/legalAct.html?documentId=edc5df10be8011e9840ec0427c781bac">
        <w:r w:rsidRPr="00532B9F">
          <w:rPr>
            <w:rFonts w:ascii="Times New Roman" w:eastAsia="MS Mincho" w:hAnsi="Times New Roman"/>
            <w:sz w:val="20"/>
            <w:i/>
            <w:iCs/>
            <w:color w:val="0000FF" w:themeColor="hyperlink"/>
            <w:u w:val="single"/>
          </w:rPr>
          <w:t>D1-488</w:t>
        </w:r>
      </w:fldSimple>
      <w:r>
        <w:rPr>
          <w:rFonts w:ascii="Times New Roman" w:eastAsia="MS Mincho" w:hAnsi="Times New Roman"/>
          <w:sz w:val="20"/>
          <w:i/>
          <w:iCs/>
        </w:rPr>
        <w:t>,
2019-08-14,
paskelbta TAR 2019-08-14, i. k. 2019-13160            </w:t>
      </w:r>
    </w:p>
    <w:p/>
    <w:p>
      <w:pPr>
        <w:tabs>
          <w:tab w:val="left" w:pos="0"/>
        </w:tabs>
        <w:ind w:firstLine="567"/>
        <w:jc w:val="both"/>
        <w:rPr>
          <w:szCs w:val="24"/>
        </w:rPr>
      </w:pPr>
      <w:r>
        <w:rPr>
          <w:rFonts w:eastAsia="Calibri"/>
          <w:szCs w:val="24"/>
        </w:rPr>
        <w:t>6</w:t>
      </w:r>
      <w:r>
        <w:rPr>
          <w:rFonts w:eastAsia="Calibri"/>
          <w:szCs w:val="24"/>
        </w:rPr>
        <w:t xml:space="preserve">. Investicijų plano užsakovas ir rengėjas gali kreiptis į Programos įgyvendinimo administratorių – viešąją įstaigą Būsto energijos taupymo agentūrą (toliau – Agentūra), kuri nemokamai konsultuoja namo atnaujinimo (modernizavimo)  projektų rengimo ir įgyvendinimo klausimais.</w:t>
      </w:r>
      <w:r>
        <w:t xml:space="preserve"> </w:t>
      </w:r>
    </w:p>
    <w:p>
      <w:pPr>
        <w:pStyle w:val="PlainText"/>
        <w:rPr>
          <w:rFonts w:ascii="Times New Roman" w:eastAsia="MS Mincho" w:hAnsi="Times New Roman"/>
          <w:sz w:val="20"/>
          <w:i/>
          <w:iCs/>
        </w:rPr>
      </w:pPr>
      <w:r>
        <w:rPr>
          <w:rFonts w:ascii="Times New Roman" w:eastAsia="MS Mincho" w:hAnsi="Times New Roman"/>
          <w:sz w:val="20"/>
          <w:i/>
          <w:iCs/>
        </w:rPr>
        <w:t>Punkto pakeitimai:</w:t>
      </w:r>
    </w:p>
    <w:p>
      <w:pPr>
        <w:pStyle w:val="PlainText"/>
        <w:jc w:val="both"/>
        <w:rPr>
          <w:rFonts w:ascii="Times New Roman" w:eastAsia="MS Mincho" w:hAnsi="Times New Roman"/>
          <w:sz w:val="20"/>
          <w:i/>
          <w:iCs/>
        </w:rPr>
      </w:pPr>
      <w:r>
        <w:rPr>
          <w:rFonts w:ascii="Times New Roman" w:eastAsia="MS Mincho" w:hAnsi="Times New Roman"/>
          <w:sz w:val="20"/>
          <w:i/>
          <w:iCs/>
        </w:rPr>
        <w:t xml:space="preserve">Nr. </w:t>
      </w:r>
      <w:fldSimple w:instr="HYPERLINK https://www.e-tar.lt/portal/legalAct.html?documentId=df803f70257a11e5bf92d6af3f6a2e8b">
        <w:r w:rsidRPr="00532B9F">
          <w:rPr>
            <w:rFonts w:ascii="Times New Roman" w:eastAsia="MS Mincho" w:hAnsi="Times New Roman"/>
            <w:sz w:val="20"/>
            <w:i/>
            <w:iCs/>
            <w:color w:val="0000FF" w:themeColor="hyperlink"/>
            <w:u w:val="single"/>
          </w:rPr>
          <w:t>D1-491</w:t>
        </w:r>
      </w:fldSimple>
      <w:r>
        <w:rPr>
          <w:rFonts w:ascii="Times New Roman" w:eastAsia="MS Mincho" w:hAnsi="Times New Roman"/>
          <w:sz w:val="20"/>
          <w:i/>
          <w:iCs/>
        </w:rPr>
        <w:t>,
2015-06-23,
paskelbta TAR 2015-07-09, i. k. 2015-11162            </w:t>
      </w:r>
    </w:p>
    <w:p>
      <w:pPr>
        <w:pStyle w:val="PlainText"/>
        <w:jc w:val="both"/>
        <w:rPr>
          <w:rFonts w:ascii="Times New Roman" w:eastAsia="MS Mincho" w:hAnsi="Times New Roman"/>
          <w:sz w:val="20"/>
          <w:i/>
          <w:iCs/>
        </w:rPr>
      </w:pPr>
      <w:r>
        <w:rPr>
          <w:rFonts w:ascii="Times New Roman" w:eastAsia="MS Mincho" w:hAnsi="Times New Roman"/>
          <w:sz w:val="20"/>
          <w:i/>
          <w:iCs/>
        </w:rPr>
        <w:t xml:space="preserve">Nr. </w:t>
      </w:r>
      <w:fldSimple w:instr="HYPERLINK https://www.e-tar.lt/portal/legalAct.html?documentId=3ccee0e0a81511e78a4c904b1afa0332">
        <w:r w:rsidRPr="00532B9F">
          <w:rPr>
            <w:rFonts w:ascii="Times New Roman" w:eastAsia="MS Mincho" w:hAnsi="Times New Roman"/>
            <w:sz w:val="20"/>
            <w:i/>
            <w:iCs/>
            <w:color w:val="0000FF" w:themeColor="hyperlink"/>
            <w:u w:val="single"/>
          </w:rPr>
          <w:t>D1-805</w:t>
        </w:r>
      </w:fldSimple>
      <w:r>
        <w:rPr>
          <w:rFonts w:ascii="Times New Roman" w:eastAsia="MS Mincho" w:hAnsi="Times New Roman"/>
          <w:sz w:val="20"/>
          <w:i/>
          <w:iCs/>
        </w:rPr>
        <w:t>,
2017-10-02,
paskelbta TAR 2017-10-03, i. k. 2017-15563            </w:t>
      </w:r>
    </w:p>
    <w:p/>
    <w:p>
      <w:pPr>
        <w:shd w:val="clear" w:color="000000" w:fill="auto"/>
        <w:tabs>
          <w:tab w:val="left" w:pos="567"/>
        </w:tabs>
        <w:jc w:val="center"/>
        <w:rPr>
          <w:b/>
          <w:caps/>
          <w:szCs w:val="24"/>
        </w:rPr>
      </w:pPr>
      <w:r>
        <w:rPr>
          <w:b/>
          <w:caps/>
          <w:szCs w:val="24"/>
        </w:rPr>
        <w:t>III</w:t>
      </w:r>
      <w:r>
        <w:rPr>
          <w:b/>
          <w:caps/>
          <w:szCs w:val="24"/>
        </w:rPr>
        <w:t xml:space="preserve">. </w:t>
      </w:r>
      <w:r>
        <w:rPr>
          <w:b/>
          <w:caps/>
          <w:szCs w:val="24"/>
        </w:rPr>
        <w:t>Investicijų plano rengimo tvarka</w:t>
      </w:r>
    </w:p>
    <w:p>
      <w:pPr>
        <w:shd w:val="clear" w:color="000000" w:fill="auto"/>
        <w:tabs>
          <w:tab w:val="left" w:pos="567"/>
        </w:tabs>
        <w:jc w:val="both"/>
        <w:rPr>
          <w:b/>
          <w:szCs w:val="24"/>
        </w:rPr>
      </w:pPr>
    </w:p>
    <w:p>
      <w:pPr>
        <w:tabs>
          <w:tab w:val="left" w:pos="0"/>
        </w:tabs>
        <w:ind w:firstLine="567"/>
        <w:jc w:val="both"/>
        <w:rPr>
          <w:szCs w:val="24"/>
        </w:rPr>
      </w:pPr>
      <w:r>
        <w:rPr>
          <w:rFonts w:eastAsia="Calibri"/>
          <w:szCs w:val="24"/>
        </w:rPr>
        <w:t>7</w:t>
      </w:r>
      <w:r>
        <w:rPr>
          <w:rFonts w:eastAsia="Calibri"/>
          <w:szCs w:val="24"/>
        </w:rPr>
        <w:t>. Investicijų planas rengiamas vadovaujantis Projekto administratoriaus (užsakovo) patvirtinta Investicijų plano rengimo užduotimi, Programa, Valstybės paramos įstatymu, Vyriausybės 2009 m. gruodžio 16 d. nutarimu Nr. 1725 „Dėl Valstybės paramos daugiabučiams namams atnaujinti (modernizuoti) teikimo ir daugiabučių namų atnaujinimo (modernizavimo) projektų įgyvendinimo priežiūros taisyklių patvirtinimo ir daugiabučio namo atnaujinimo (modernizavimo) projektui įgyvendinti skirto kaupiamojo įnašo ir (ar) kitų įmokų didžiausios mėnesinės įmokos nustatymo“ (toliau – Nutarimas), Valstybės paramos daugiabučiams namams atnaujinti (modernizuoti) teikimo ir daugiabučių namų atnaujinimo (modernizavimo) projektų įgyvendinimo priežiūros taisyklėmis, patvirtintomis Nutarimu (toliau – Valstybės paramos taisyklės), Statybos įstatymu, kitais su jo rengimu susijusiais teisės aktais ir šia tvarka.</w:t>
      </w:r>
      <w:r>
        <w:t xml:space="preserve"> </w:t>
      </w:r>
    </w:p>
    <w:p>
      <w:pPr>
        <w:pStyle w:val="PlainText"/>
        <w:rPr>
          <w:rFonts w:ascii="Times New Roman" w:eastAsia="MS Mincho" w:hAnsi="Times New Roman"/>
          <w:sz w:val="20"/>
          <w:i/>
          <w:iCs/>
        </w:rPr>
      </w:pPr>
      <w:r>
        <w:rPr>
          <w:rFonts w:ascii="Times New Roman" w:eastAsia="MS Mincho" w:hAnsi="Times New Roman"/>
          <w:sz w:val="20"/>
          <w:i/>
          <w:iCs/>
        </w:rPr>
        <w:t>Punkto pakeitimai:</w:t>
      </w:r>
    </w:p>
    <w:p>
      <w:pPr>
        <w:pStyle w:val="PlainText"/>
        <w:jc w:val="both"/>
        <w:rPr>
          <w:rFonts w:ascii="Times New Roman" w:eastAsia="MS Mincho" w:hAnsi="Times New Roman"/>
          <w:sz w:val="20"/>
          <w:i/>
          <w:iCs/>
        </w:rPr>
      </w:pPr>
      <w:r>
        <w:rPr>
          <w:rFonts w:ascii="Times New Roman" w:eastAsia="MS Mincho" w:hAnsi="Times New Roman"/>
          <w:sz w:val="20"/>
          <w:i/>
          <w:iCs/>
        </w:rPr>
        <w:t xml:space="preserve">Nr. </w:t>
      </w:r>
      <w:fldSimple w:instr="HYPERLINK https://www.e-tar.lt/portal/legalAct.html?documentId=3ccee0e0a81511e78a4c904b1afa0332">
        <w:r w:rsidRPr="00532B9F">
          <w:rPr>
            <w:rFonts w:ascii="Times New Roman" w:eastAsia="MS Mincho" w:hAnsi="Times New Roman"/>
            <w:sz w:val="20"/>
            <w:i/>
            <w:iCs/>
            <w:color w:val="0000FF" w:themeColor="hyperlink"/>
            <w:u w:val="single"/>
          </w:rPr>
          <w:t>D1-805</w:t>
        </w:r>
      </w:fldSimple>
      <w:r>
        <w:rPr>
          <w:rFonts w:ascii="Times New Roman" w:eastAsia="MS Mincho" w:hAnsi="Times New Roman"/>
          <w:sz w:val="20"/>
          <w:i/>
          <w:iCs/>
        </w:rPr>
        <w:t>,
2017-10-02,
paskelbta TAR 2017-10-03, i. k. 2017-15563            </w:t>
      </w:r>
    </w:p>
    <w:p/>
    <w:p>
      <w:pPr>
        <w:shd w:val="clear" w:color="000000" w:fill="auto"/>
        <w:tabs>
          <w:tab w:val="left" w:pos="567"/>
        </w:tabs>
        <w:ind w:firstLine="480"/>
        <w:jc w:val="both"/>
        <w:rPr>
          <w:szCs w:val="24"/>
        </w:rPr>
      </w:pPr>
      <w:r>
        <w:rPr>
          <w:szCs w:val="24"/>
        </w:rPr>
        <w:t>8</w:t>
      </w:r>
      <w:r>
        <w:rPr>
          <w:szCs w:val="24"/>
        </w:rPr>
        <w:t>. Investicijų plane (jo pavyzdinė forma pateikiama Tvarkos aprašo 1 priede) turi būti:</w:t>
      </w:r>
    </w:p>
    <w:p>
      <w:pPr>
        <w:shd w:val="clear" w:color="000000" w:fill="auto"/>
        <w:tabs>
          <w:tab w:val="left" w:pos="567"/>
        </w:tabs>
        <w:ind w:firstLine="480"/>
        <w:jc w:val="both"/>
        <w:rPr>
          <w:szCs w:val="24"/>
        </w:rPr>
      </w:pPr>
      <w:r>
        <w:rPr>
          <w:szCs w:val="24"/>
        </w:rPr>
        <w:t>8.1</w:t>
      </w:r>
      <w:r>
        <w:rPr>
          <w:szCs w:val="24"/>
        </w:rPr>
        <w:t xml:space="preserve"> aiškinamasis raštas;</w:t>
      </w:r>
    </w:p>
    <w:p>
      <w:pPr>
        <w:shd w:val="clear" w:color="000000" w:fill="auto"/>
        <w:tabs>
          <w:tab w:val="left" w:pos="567"/>
        </w:tabs>
        <w:ind w:firstLine="480"/>
        <w:jc w:val="both"/>
        <w:rPr>
          <w:szCs w:val="24"/>
        </w:rPr>
      </w:pPr>
      <w:r>
        <w:rPr>
          <w:szCs w:val="24"/>
        </w:rPr>
        <w:t>8.2</w:t>
      </w:r>
      <w:r>
        <w:rPr>
          <w:szCs w:val="24"/>
        </w:rPr>
        <w:t>. pagrindiniai namo techniniai rodikliai;</w:t>
      </w:r>
    </w:p>
    <w:p>
      <w:pPr>
        <w:shd w:val="clear" w:color="000000" w:fill="auto"/>
        <w:tabs>
          <w:tab w:val="left" w:pos="567"/>
        </w:tabs>
        <w:ind w:firstLine="480"/>
        <w:jc w:val="both"/>
        <w:rPr>
          <w:szCs w:val="24"/>
        </w:rPr>
      </w:pPr>
      <w:r>
        <w:rPr>
          <w:szCs w:val="24"/>
        </w:rPr>
        <w:t>8.3</w:t>
      </w:r>
      <w:r>
        <w:rPr>
          <w:szCs w:val="24"/>
        </w:rPr>
        <w:t xml:space="preserve">. namo esamos padėties fizinės ir energinės būklės įvertinimas; </w:t>
      </w:r>
    </w:p>
    <w:p>
      <w:pPr>
        <w:shd w:val="clear" w:color="000000" w:fill="auto"/>
        <w:tabs>
          <w:tab w:val="left" w:pos="567"/>
        </w:tabs>
        <w:ind w:firstLine="480"/>
        <w:jc w:val="both"/>
        <w:rPr>
          <w:szCs w:val="24"/>
        </w:rPr>
      </w:pPr>
      <w:r>
        <w:rPr>
          <w:szCs w:val="24"/>
        </w:rPr>
        <w:t>8.4</w:t>
      </w:r>
      <w:r>
        <w:rPr>
          <w:szCs w:val="24"/>
        </w:rPr>
        <w:t>. numatomos namo atnaujinimo (modernizavimo) priemonės ir siektini techniniai energiniai parametrai;</w:t>
      </w:r>
    </w:p>
    <w:p>
      <w:pPr>
        <w:shd w:val="clear" w:color="000000" w:fill="auto"/>
        <w:tabs>
          <w:tab w:val="left" w:pos="567"/>
        </w:tabs>
        <w:ind w:firstLine="480"/>
        <w:jc w:val="both"/>
        <w:rPr>
          <w:szCs w:val="24"/>
        </w:rPr>
      </w:pPr>
      <w:r>
        <w:rPr>
          <w:szCs w:val="24"/>
        </w:rPr>
        <w:t>8.5</w:t>
      </w:r>
      <w:r>
        <w:rPr>
          <w:szCs w:val="24"/>
        </w:rPr>
        <w:t>. numatomų priemonių energinio naudingumo įvertinimas;</w:t>
      </w:r>
    </w:p>
    <w:p>
      <w:pPr>
        <w:shd w:val="clear" w:color="000000" w:fill="auto"/>
        <w:tabs>
          <w:tab w:val="left" w:pos="567"/>
        </w:tabs>
        <w:ind w:firstLine="480"/>
        <w:jc w:val="both"/>
        <w:rPr>
          <w:szCs w:val="24"/>
        </w:rPr>
      </w:pPr>
      <w:r>
        <w:rPr>
          <w:szCs w:val="24"/>
        </w:rPr>
        <w:t>8.6</w:t>
      </w:r>
      <w:r>
        <w:rPr>
          <w:szCs w:val="24"/>
        </w:rPr>
        <w:t>. numatomų priemonių įgyvendinimo skaičiuojamoji kaina;</w:t>
      </w:r>
    </w:p>
    <w:p>
      <w:pPr>
        <w:shd w:val="clear" w:color="000000" w:fill="auto"/>
        <w:tabs>
          <w:tab w:val="left" w:pos="567"/>
        </w:tabs>
        <w:ind w:firstLine="480"/>
        <w:jc w:val="both"/>
        <w:rPr>
          <w:szCs w:val="24"/>
        </w:rPr>
      </w:pPr>
      <w:r>
        <w:rPr>
          <w:szCs w:val="24"/>
        </w:rPr>
        <w:t>8.7</w:t>
      </w:r>
      <w:r>
        <w:rPr>
          <w:szCs w:val="24"/>
        </w:rPr>
        <w:t>. numatomų priemonių ekonominio naudingumo (atsiperkamumo) įvertinimas;</w:t>
      </w:r>
    </w:p>
    <w:p>
      <w:pPr>
        <w:shd w:val="clear" w:color="000000" w:fill="auto"/>
        <w:tabs>
          <w:tab w:val="left" w:pos="567"/>
        </w:tabs>
        <w:ind w:firstLine="480"/>
        <w:jc w:val="both"/>
        <w:rPr>
          <w:szCs w:val="24"/>
        </w:rPr>
      </w:pPr>
      <w:r>
        <w:rPr>
          <w:szCs w:val="24"/>
        </w:rPr>
        <w:t>8.8</w:t>
      </w:r>
      <w:r>
        <w:rPr>
          <w:szCs w:val="24"/>
        </w:rPr>
        <w:t>. projekto įgyvendinimo ir finansavimo planas;</w:t>
      </w:r>
    </w:p>
    <w:p>
      <w:pPr>
        <w:shd w:val="clear" w:color="000000" w:fill="auto"/>
        <w:tabs>
          <w:tab w:val="left" w:pos="567"/>
        </w:tabs>
        <w:ind w:firstLine="480"/>
        <w:jc w:val="both"/>
        <w:rPr>
          <w:szCs w:val="24"/>
        </w:rPr>
      </w:pPr>
      <w:r>
        <w:rPr>
          <w:szCs w:val="24"/>
        </w:rPr>
        <w:t>8.9</w:t>
      </w:r>
      <w:r>
        <w:rPr>
          <w:szCs w:val="24"/>
        </w:rPr>
        <w:t>. preliminarus lėšų (investicijų) paskirstymas butų ir kitų patalpų savininkams ir mėnesinės kredito grąžinimo ir palūkanų apmokėjimo įmokos dydžio nustatymas.</w:t>
      </w:r>
    </w:p>
    <w:p>
      <w:pPr>
        <w:pStyle w:val="PlainText"/>
        <w:ind w:firstLine="567"/>
        <w:jc w:val="both"/>
        <w:rPr>
          <w:rFonts w:ascii="Times New Roman" w:hAnsi="Times New Roman"/>
          <w:b/>
          <w:bCs/>
          <w:sz w:val="22"/>
        </w:rPr>
      </w:pPr>
      <w:r>
        <w:rPr>
          <w:rFonts w:ascii="Times New Roman" w:hAnsi="Times New Roman"/>
          <w:sz w:val="22"/>
        </w:rPr>
        <w:t>8.10</w:t>
      </w:r>
      <w:r>
        <w:rPr>
          <w:rFonts w:ascii="Times New Roman" w:hAnsi="Times New Roman"/>
          <w:sz w:val="22"/>
        </w:rPr>
        <w:t>.</w:t>
      </w:r>
      <w:r>
        <w:rPr>
          <w:rFonts w:ascii="Times New Roman" w:eastAsia="MS Mincho" w:hAnsi="Times New Roman"/>
          <w:sz w:val="20"/>
          <w:i/>
          <w:iCs/>
        </w:rPr>
        <w:t xml:space="preserve"> Neteko galios nuo 2019-08-15</w:t>
      </w:r>
    </w:p>
    <w:p>
      <w:pPr>
        <w:pStyle w:val="PlainText"/>
        <w:rPr>
          <w:rFonts w:ascii="Times New Roman" w:eastAsia="MS Mincho" w:hAnsi="Times New Roman"/>
          <w:sz w:val="20"/>
          <w:i/>
          <w:iCs/>
        </w:rPr>
      </w:pPr>
      <w:r>
        <w:rPr>
          <w:rFonts w:ascii="Times New Roman" w:eastAsia="MS Mincho" w:hAnsi="Times New Roman"/>
          <w:sz w:val="20"/>
          <w:i/>
          <w:iCs/>
        </w:rPr>
        <w:t>Punkto naikinimas:</w:t>
      </w:r>
    </w:p>
    <w:p>
      <w:pPr>
        <w:pStyle w:val="PlainText"/>
        <w:jc w:val="both"/>
        <w:rPr>
          <w:rFonts w:ascii="Times New Roman" w:eastAsia="MS Mincho" w:hAnsi="Times New Roman"/>
          <w:sz w:val="20"/>
          <w:i/>
          <w:iCs/>
        </w:rPr>
      </w:pPr>
      <w:r>
        <w:rPr>
          <w:rFonts w:ascii="Times New Roman" w:eastAsia="MS Mincho" w:hAnsi="Times New Roman"/>
          <w:sz w:val="20"/>
          <w:i/>
          <w:iCs/>
        </w:rPr>
        <w:t xml:space="preserve">Nr. </w:t>
      </w:r>
      <w:fldSimple w:instr="HYPERLINK https://www.e-tar.lt/portal/legalAct.html?documentId=edc5df10be8011e9840ec0427c781bac">
        <w:r w:rsidRPr="00532B9F">
          <w:rPr>
            <w:rFonts w:ascii="Times New Roman" w:eastAsia="MS Mincho" w:hAnsi="Times New Roman"/>
            <w:sz w:val="20"/>
            <w:i/>
            <w:iCs/>
            <w:color w:val="0000FF" w:themeColor="hyperlink"/>
            <w:u w:val="single"/>
          </w:rPr>
          <w:t>D1-488</w:t>
        </w:r>
      </w:fldSimple>
      <w:r>
        <w:rPr>
          <w:rFonts w:ascii="Times New Roman" w:eastAsia="MS Mincho" w:hAnsi="Times New Roman"/>
          <w:sz w:val="20"/>
          <w:i/>
          <w:iCs/>
        </w:rPr>
        <w:t>,
2019-08-14,
paskelbta TAR 2019-08-14, i. k. 2019-13160        </w:t>
      </w:r>
    </w:p>
    <w:p/>
    <w:p>
      <w:pPr>
        <w:shd w:val="clear" w:color="000000" w:fill="auto"/>
        <w:tabs>
          <w:tab w:val="left" w:pos="567"/>
        </w:tabs>
        <w:ind w:firstLine="480"/>
        <w:jc w:val="both"/>
        <w:rPr>
          <w:szCs w:val="24"/>
        </w:rPr>
      </w:pPr>
      <w:r>
        <w:rPr>
          <w:szCs w:val="24"/>
        </w:rPr>
        <w:t>9</w:t>
      </w:r>
      <w:r>
        <w:rPr>
          <w:szCs w:val="24"/>
        </w:rPr>
        <w:t>. Aiškinamajame rašte aprašoma ir paaiškinama Investicijų plano rengimo ir siūlomų sprendinių esmė. Nurodomas investicijų plano rengimo teisinis pagrindas (užsakovas, sutarties data ir registracijos numeris), normatyviniai ir kiti dokumentai, kuriais vadovaujantis parengtas šis planas, esamos padėties įvertinimas, pagrindiniai motyvai, pagrindžiantys siūlomus sprendinius, projekto įgyvendinimo ir finansavimo planą.</w:t>
      </w:r>
    </w:p>
    <w:p>
      <w:pPr>
        <w:shd w:val="clear" w:color="000000" w:fill="auto"/>
        <w:tabs>
          <w:tab w:val="left" w:pos="567"/>
        </w:tabs>
        <w:ind w:firstLine="480"/>
        <w:jc w:val="both"/>
        <w:rPr>
          <w:szCs w:val="24"/>
        </w:rPr>
      </w:pPr>
      <w:r>
        <w:rPr>
          <w:szCs w:val="24"/>
        </w:rPr>
        <w:t>10</w:t>
      </w:r>
      <w:r>
        <w:rPr>
          <w:szCs w:val="24"/>
        </w:rPr>
        <w:t>. Pagrindinių namo techninių rodiklių sudėtis pateikiama Tvarkos aprašo priedo 1 lentelėje. Jie nustatomi vadovaujantis turimų kadastrinių matavimų, namo techninio ar techninio energinio paso, ar namo statybos projekto duomenimis, atlikus vizualinę namo apžiūrą ir natūrinius matavimus vietoje. Prie Investicijų plano aiškinamojo rašto pridedamos ištraukos iš statybos projekto (namo aukštų planas, fasadas, skerspjūvis) arba namo kadastrinių matavimų dokumentų.</w:t>
      </w:r>
    </w:p>
    <w:p>
      <w:pPr>
        <w:suppressAutoHyphens/>
        <w:spacing w:line="276" w:lineRule="auto"/>
        <w:ind w:firstLine="567"/>
        <w:jc w:val="both"/>
        <w:rPr>
          <w:szCs w:val="24"/>
        </w:rPr>
      </w:pPr>
      <w:r>
        <w:rPr>
          <w:szCs w:val="24"/>
          <w:lang w:eastAsia="lt-LT"/>
        </w:rPr>
        <w:t>11</w:t>
      </w:r>
      <w:r>
        <w:rPr>
          <w:szCs w:val="24"/>
          <w:lang w:eastAsia="lt-LT"/>
        </w:rPr>
        <w:t>. Namo fizinė būklė įvertinama pagal bendrojo naudojimo objektų valdytojo pateiktus namo ir jo inžinerinių sistemų techninės priežiūros, vykdomos teisės aktų nustatyta tvarka, dokumentų ir statybinių tyrinėjimų ar statinio (jo dalies) ekspertizės, jeigu jie buvo atlikti, duomenis. Investicijų plano rengėjas privalo patikrinti ir papildyti projekto užsakovo pateiktus duomenis atlikus vizualinę objektų apžiūrą vietoje, dalyvaujant namo bendrojo naudojimo objektų valdytojo atstovui, kuri įforminama vizualinės apžiūros aktu. Šį aktą pasirašo visi apžiūroje dalyvavę asmenys. Prie apžiūros akto pridedama raiški foto fiksacinė medžiaga, parodanti esminius namo konstrukcijų ir inžinerinių sistemų defektus ir deformacijas. Pagal namo fizinės būklės įvertinimą pagrindžiamos priemonės namo fizinėms savybėms atkurti. Jei numatoma priemonė nurodyta Valstybės remiamų daugiabučio namo atnaujinimo (modernizavimo) priemonių sąrašo, pateikto Programos priede, 12</w:t>
      </w:r>
      <w:r>
        <w:rPr>
          <w:b/>
          <w:bCs/>
          <w:szCs w:val="24"/>
          <w:lang w:eastAsia="lt-LT"/>
        </w:rPr>
        <w:t xml:space="preserve"> </w:t>
      </w:r>
      <w:r>
        <w:rPr>
          <w:szCs w:val="24"/>
          <w:lang w:eastAsia="lt-LT"/>
        </w:rPr>
        <w:t>punkte, turi būti pridedamas statinio (jo dalies) ekspertizės aktas, patvirtinantis atitinkamos konstrukcijos avarinę būklę.</w:t>
      </w:r>
      <w:r>
        <w:t xml:space="preserve"> </w:t>
      </w:r>
    </w:p>
    <w:p>
      <w:pPr>
        <w:pStyle w:val="PlainText"/>
        <w:rPr>
          <w:rFonts w:ascii="Times New Roman" w:eastAsia="MS Mincho" w:hAnsi="Times New Roman"/>
          <w:sz w:val="20"/>
          <w:i/>
          <w:iCs/>
        </w:rPr>
      </w:pPr>
      <w:r>
        <w:rPr>
          <w:rFonts w:ascii="Times New Roman" w:eastAsia="MS Mincho" w:hAnsi="Times New Roman"/>
          <w:sz w:val="20"/>
          <w:i/>
          <w:iCs/>
        </w:rPr>
        <w:t>Punkto pakeitimai:</w:t>
      </w:r>
    </w:p>
    <w:p>
      <w:pPr>
        <w:pStyle w:val="PlainText"/>
        <w:jc w:val="both"/>
        <w:rPr>
          <w:rFonts w:ascii="Times New Roman" w:eastAsia="MS Mincho" w:hAnsi="Times New Roman"/>
          <w:sz w:val="20"/>
          <w:i/>
          <w:iCs/>
        </w:rPr>
      </w:pPr>
      <w:r>
        <w:rPr>
          <w:rFonts w:ascii="Times New Roman" w:eastAsia="MS Mincho" w:hAnsi="Times New Roman"/>
          <w:sz w:val="20"/>
          <w:i/>
          <w:iCs/>
        </w:rPr>
        <w:t xml:space="preserve">Nr. </w:t>
      </w:r>
      <w:fldSimple w:instr="HYPERLINK https://www.e-tar.lt/portal/legalAct.html?documentId=edc5df10be8011e9840ec0427c781bac">
        <w:r w:rsidRPr="00532B9F">
          <w:rPr>
            <w:rFonts w:ascii="Times New Roman" w:eastAsia="MS Mincho" w:hAnsi="Times New Roman"/>
            <w:sz w:val="20"/>
            <w:i/>
            <w:iCs/>
            <w:color w:val="0000FF" w:themeColor="hyperlink"/>
            <w:u w:val="single"/>
          </w:rPr>
          <w:t>D1-488</w:t>
        </w:r>
      </w:fldSimple>
      <w:r>
        <w:rPr>
          <w:rFonts w:ascii="Times New Roman" w:eastAsia="MS Mincho" w:hAnsi="Times New Roman"/>
          <w:sz w:val="20"/>
          <w:i/>
          <w:iCs/>
        </w:rPr>
        <w:t>,
2019-08-14,
paskelbta TAR 2019-08-14, i. k. 2019-13160            </w:t>
      </w:r>
    </w:p>
    <w:p/>
    <w:p>
      <w:pPr>
        <w:shd w:val="clear" w:color="000000" w:fill="auto"/>
        <w:tabs>
          <w:tab w:val="left" w:pos="567"/>
        </w:tabs>
        <w:ind w:firstLine="600"/>
        <w:jc w:val="both"/>
        <w:rPr>
          <w:szCs w:val="24"/>
        </w:rPr>
      </w:pPr>
      <w:r>
        <w:rPr>
          <w:szCs w:val="24"/>
        </w:rPr>
        <w:t>12</w:t>
      </w:r>
      <w:r>
        <w:rPr>
          <w:szCs w:val="24"/>
        </w:rPr>
        <w:t>. Namo energinė būklė įvertinama teisės aktų nustatyta tvarka atlikus namo energinio</w:t>
      </w:r>
      <w:r>
        <w:rPr>
          <w:b/>
          <w:szCs w:val="24"/>
        </w:rPr>
        <w:t xml:space="preserve"> </w:t>
      </w:r>
      <w:r>
        <w:rPr>
          <w:szCs w:val="24"/>
        </w:rPr>
        <w:t>naudingumo sertifikavimą ir gavus atitinkamą sertifikatą (kuris pridedamas prie Investicijų plano aiškinamojo rašto). Sertifikate pateikti skaičiuojamieji šiluminės energijos sąnaudų patalpų šildymui rodikliai palyginami su faktinėmis šios energijos sąnaudomis, kurios nustatomos pagal paskutiniųjų trejų metų duomenų vidurkį. Vidutinis faktinių šilumos sąnaudų vidurkis perskaičiuojamas pagal norminius metus, nustatant šiluminės energijos sąnaudas vienam dienolaipsniui. Į faktines šilumos sąnaudas atsižvelgiama vertinant Projekto ekonominį naudingumą. Pagal namo energinio naudingumo sertifikato duomenis pagrindžiamos priemonės namo energiniam efektyvumui didinti.</w:t>
      </w:r>
    </w:p>
    <w:p>
      <w:pPr>
        <w:tabs>
          <w:tab w:val="left" w:pos="0"/>
        </w:tabs>
        <w:ind w:firstLine="567"/>
        <w:jc w:val="both"/>
        <w:rPr>
          <w:szCs w:val="24"/>
        </w:rPr>
      </w:pPr>
      <w:r>
        <w:rPr>
          <w:rFonts w:eastAsia="Calibri"/>
          <w:szCs w:val="24"/>
        </w:rPr>
        <w:t>13</w:t>
      </w:r>
      <w:r>
        <w:rPr>
          <w:rFonts w:eastAsia="Calibri"/>
          <w:szCs w:val="24"/>
        </w:rPr>
        <w:t>. Pagal Tvarkos aprašo 11 ir 12 punktus parinktos namo atnaujinimo (modernizavimo) priemonės turi atitikti Programos priede pateiktas valstybės remiamas priemones ir užtikrinti, kad būtų pasiekta ne mažesnė kaip C pastato energinio naudingumo klasė ir šiluminės energijos sąnaudos sumažintos ne mažiau kaip 40 procentų, lyginant su esama padėtimi. Jeigu atnaujinamas daugiabutis, kuriam pagal Statybos įstatymą minimalūs privalomi pastatų energinio naudingumo reikalavimai nenustatomi, parinktos namo atnaujinimo (modernizavimo) priemonės turi atitikti Programos priede pateiktas valstybės remiamas priemones ir užtikrinti, kad skaičiuojamosios šiluminės energijos sąnaudos būtų sumažinamos ne mažiau kaip 25 procentais, palyginti su skaičiuojamosiomis šiluminės energijos sąnaudomis iki atnaujinimo projekto įgyvendinimo. Investicijų plane turi būti nurodomos siektinos numatomų įgyvendinti priemonių techninės ir energinės savybės, taip pat preliminarūs šių priemonių kiekybiniai rodikliai (m</w:t>
      </w:r>
      <w:r>
        <w:rPr>
          <w:rFonts w:eastAsia="Calibri"/>
          <w:szCs w:val="24"/>
          <w:vertAlign w:val="superscript"/>
        </w:rPr>
        <w:t>2</w:t>
      </w:r>
      <w:r>
        <w:rPr>
          <w:rFonts w:eastAsia="Calibri"/>
          <w:szCs w:val="24"/>
        </w:rPr>
        <w:t>, m, vnt.). Atliekamas skirtingų namo atnaujinimo (modernizavimo) priemonių variantų palyginimas. Viename iš variantų turi būti numatytas šilumos apskaitos sistemos ir/ar termoreguliatorių butuose ir kitose patalpose įrengimas ir pasiekta aukštesnė nei C pastato energinio naudingumo klasė. Jei planuojamas butų ir kitų patalpų langų ir balkono durų keitimas ar balkonų (lodžijų) įstiklinimas, rekomenduotina apie tai raštu informuoti (pateikiant pranešimus į pašto dėžutes ar išsiunčiant juos paštu ar el. paštu) šių butų ar kitų patalpų ir balkonų (lodžijų) savininkus (šią informaciją parengia ir pateikia investicijų plano rengimo organizatorius kartu su jo rengėju).</w:t>
      </w:r>
      <w:r>
        <w:rPr>
          <w:rFonts w:ascii="Calibri" w:eastAsia="Calibri" w:hAnsi="Calibri"/>
          <w:sz w:val="22"/>
          <w:szCs w:val="24"/>
        </w:rPr>
        <w:t xml:space="preserve"> </w:t>
      </w:r>
    </w:p>
    <w:p>
      <w:pPr>
        <w:pStyle w:val="PlainText"/>
        <w:rPr>
          <w:rFonts w:ascii="Times New Roman" w:eastAsia="MS Mincho" w:hAnsi="Times New Roman"/>
          <w:sz w:val="20"/>
          <w:i/>
          <w:iCs/>
        </w:rPr>
      </w:pPr>
      <w:r>
        <w:rPr>
          <w:rFonts w:ascii="Times New Roman" w:eastAsia="MS Mincho" w:hAnsi="Times New Roman"/>
          <w:sz w:val="20"/>
          <w:i/>
          <w:iCs/>
        </w:rPr>
        <w:t>Punkto pakeitimai:</w:t>
      </w:r>
    </w:p>
    <w:p>
      <w:pPr>
        <w:pStyle w:val="PlainText"/>
        <w:jc w:val="both"/>
        <w:rPr>
          <w:rFonts w:ascii="Times New Roman" w:eastAsia="MS Mincho" w:hAnsi="Times New Roman"/>
          <w:sz w:val="20"/>
          <w:i/>
          <w:iCs/>
        </w:rPr>
      </w:pPr>
      <w:r>
        <w:rPr>
          <w:rFonts w:ascii="Times New Roman" w:eastAsia="MS Mincho" w:hAnsi="Times New Roman"/>
          <w:sz w:val="20"/>
          <w:i/>
          <w:iCs/>
        </w:rPr>
        <w:t xml:space="preserve">Nr. </w:t>
      </w:r>
      <w:fldSimple w:instr="HYPERLINK https://www.e-tar.lt/portal/legalAct.html?documentId=3ccee0e0a81511e78a4c904b1afa0332">
        <w:r w:rsidRPr="00532B9F">
          <w:rPr>
            <w:rFonts w:ascii="Times New Roman" w:eastAsia="MS Mincho" w:hAnsi="Times New Roman"/>
            <w:sz w:val="20"/>
            <w:i/>
            <w:iCs/>
            <w:color w:val="0000FF" w:themeColor="hyperlink"/>
            <w:u w:val="single"/>
          </w:rPr>
          <w:t>D1-805</w:t>
        </w:r>
      </w:fldSimple>
      <w:r>
        <w:rPr>
          <w:rFonts w:ascii="Times New Roman" w:eastAsia="MS Mincho" w:hAnsi="Times New Roman"/>
          <w:sz w:val="20"/>
          <w:i/>
          <w:iCs/>
        </w:rPr>
        <w:t>,
2017-10-02,
paskelbta TAR 2017-10-03, i. k. 2017-15563            </w:t>
      </w:r>
    </w:p>
    <w:p/>
    <w:p>
      <w:pPr>
        <w:tabs>
          <w:tab w:val="left" w:pos="0"/>
        </w:tabs>
        <w:ind w:firstLine="567"/>
        <w:jc w:val="both"/>
        <w:rPr>
          <w:szCs w:val="24"/>
        </w:rPr>
      </w:pPr>
      <w:r>
        <w:rPr>
          <w:rFonts w:eastAsia="Calibri"/>
          <w:szCs w:val="24"/>
        </w:rPr>
        <w:t>14</w:t>
      </w:r>
      <w:r>
        <w:rPr>
          <w:rFonts w:eastAsia="Calibri"/>
          <w:szCs w:val="24"/>
        </w:rPr>
        <w:t>. Numatomų įgyvendinti namo atnaujinimo (modernizavimo) priemonių energinis naudingumas nustatomas vadovaujantis Pastato energinio naudingumo įvertinimo metodika, pateikta statybos techniniame reglamente STR</w:t>
      </w:r>
      <w:r>
        <w:rPr>
          <w:rFonts w:ascii="Calibri" w:eastAsia="Calibri" w:hAnsi="Calibri"/>
          <w:bCs/>
          <w:sz w:val="22"/>
          <w:szCs w:val="24"/>
        </w:rPr>
        <w:t xml:space="preserve"> </w:t>
      </w:r>
      <w:r>
        <w:rPr>
          <w:rFonts w:eastAsia="Calibri"/>
          <w:bCs/>
          <w:szCs w:val="24"/>
        </w:rPr>
        <w:t>2.01.02:2016</w:t>
      </w:r>
      <w:r>
        <w:rPr>
          <w:rFonts w:eastAsia="Calibri"/>
          <w:szCs w:val="24"/>
          <w:lang w:val="en-US"/>
        </w:rPr>
        <w:t xml:space="preserve"> „</w:t>
      </w:r>
      <w:r>
        <w:rPr>
          <w:rFonts w:eastAsia="Calibri"/>
          <w:bCs/>
          <w:szCs w:val="24"/>
        </w:rPr>
        <w:t>Pastatų energinio naudingumo projektavimas ir sertifikavimas“ (toliau – Reglamentas)</w:t>
      </w:r>
      <w:r>
        <w:rPr>
          <w:rFonts w:eastAsia="Calibri"/>
          <w:szCs w:val="24"/>
        </w:rPr>
        <w:t>. Suminės šiluminės energijos sąnaudos namo patalpų šildymui kWh/m²/metus nustatomos pagal planuojamas įgyvendinti energiją taupančias priemones (išskyrus liftus, kurių keitimo energinis efektyvumas apskaičiuojamas atskirai pagal gamintojo pateikiamus duomenis). Numatomų įgyvendinti priemonių suminis energinis naudingumas įvertinamas palyginus planuojamas šiluminės energijos sąnaudas su esamos padėties skaičiuojamosiomis šiluminės energijos sąnaudomis namo patalpų šildymui. Šis santykis išreiškiamas procentais ir jis turi būti ne mažesnis, kaip nurodyta Tvarkos aprašo 13 punkte. Išmetamo šiltnamio efektą sukeliančių dujų (toliau ‒ (ŠESD) (CO</w:t>
      </w:r>
      <w:r>
        <w:rPr>
          <w:rFonts w:eastAsia="Calibri"/>
          <w:szCs w:val="24"/>
          <w:vertAlign w:val="subscript"/>
        </w:rPr>
        <w:t>2</w:t>
      </w:r>
      <w:r>
        <w:rPr>
          <w:rFonts w:eastAsia="Calibri"/>
          <w:szCs w:val="24"/>
        </w:rPr>
        <w:t>) kiekis apskaičiuojamas pagal Reglamentą. ŠESD (CO</w:t>
      </w:r>
      <w:r>
        <w:rPr>
          <w:rFonts w:eastAsia="Calibri"/>
          <w:szCs w:val="24"/>
          <w:vertAlign w:val="subscript"/>
        </w:rPr>
        <w:t>2</w:t>
      </w:r>
      <w:r>
        <w:rPr>
          <w:rFonts w:eastAsia="Calibri"/>
          <w:szCs w:val="24"/>
        </w:rPr>
        <w:t>)</w:t>
      </w:r>
      <w:r>
        <w:rPr>
          <w:rFonts w:eastAsia="Calibri"/>
          <w:szCs w:val="24"/>
          <w:vertAlign w:val="subscript"/>
        </w:rPr>
        <w:t xml:space="preserve"> </w:t>
      </w:r>
      <w:r>
        <w:rPr>
          <w:rFonts w:eastAsia="Calibri"/>
          <w:szCs w:val="24"/>
        </w:rPr>
        <w:t>sumažėjimas apskaičiuojamas lyginant esamą padėtį su išmetamu ŠESD (CO</w:t>
      </w:r>
      <w:r>
        <w:rPr>
          <w:rFonts w:eastAsia="Calibri"/>
          <w:szCs w:val="24"/>
          <w:vertAlign w:val="subscript"/>
        </w:rPr>
        <w:t>2</w:t>
      </w:r>
      <w:r>
        <w:rPr>
          <w:rFonts w:eastAsia="Calibri"/>
          <w:szCs w:val="24"/>
        </w:rPr>
        <w:t>)</w:t>
      </w:r>
      <w:r>
        <w:rPr>
          <w:rFonts w:eastAsia="Calibri"/>
          <w:szCs w:val="24"/>
          <w:vertAlign w:val="subscript"/>
        </w:rPr>
        <w:t xml:space="preserve"> </w:t>
      </w:r>
      <w:r>
        <w:rPr>
          <w:rFonts w:eastAsia="Calibri"/>
          <w:szCs w:val="24"/>
        </w:rPr>
        <w:t>kiekiu po atnaujinimo projekto įgyvendinimo.</w:t>
      </w:r>
      <w:r>
        <w:t xml:space="preserve"> </w:t>
      </w:r>
    </w:p>
    <w:p>
      <w:pPr>
        <w:pStyle w:val="PlainText"/>
        <w:rPr>
          <w:rFonts w:ascii="Times New Roman" w:eastAsia="MS Mincho" w:hAnsi="Times New Roman"/>
          <w:sz w:val="20"/>
          <w:i/>
          <w:iCs/>
        </w:rPr>
      </w:pPr>
      <w:r>
        <w:rPr>
          <w:rFonts w:ascii="Times New Roman" w:eastAsia="MS Mincho" w:hAnsi="Times New Roman"/>
          <w:sz w:val="20"/>
          <w:i/>
          <w:iCs/>
        </w:rPr>
        <w:t>Punkto pakeitimai:</w:t>
      </w:r>
    </w:p>
    <w:p>
      <w:pPr>
        <w:pStyle w:val="PlainText"/>
        <w:jc w:val="both"/>
        <w:rPr>
          <w:rFonts w:ascii="Times New Roman" w:eastAsia="MS Mincho" w:hAnsi="Times New Roman"/>
          <w:sz w:val="20"/>
          <w:i/>
          <w:iCs/>
        </w:rPr>
      </w:pPr>
      <w:r>
        <w:rPr>
          <w:rFonts w:ascii="Times New Roman" w:eastAsia="MS Mincho" w:hAnsi="Times New Roman"/>
          <w:sz w:val="20"/>
          <w:i/>
          <w:iCs/>
        </w:rPr>
        <w:t xml:space="preserve">Nr. </w:t>
      </w:r>
      <w:fldSimple w:instr="HYPERLINK https://www.e-tar.lt/portal/legalAct.html?documentId=3ccee0e0a81511e78a4c904b1afa0332">
        <w:r w:rsidRPr="00532B9F">
          <w:rPr>
            <w:rFonts w:ascii="Times New Roman" w:eastAsia="MS Mincho" w:hAnsi="Times New Roman"/>
            <w:sz w:val="20"/>
            <w:i/>
            <w:iCs/>
            <w:color w:val="0000FF" w:themeColor="hyperlink"/>
            <w:u w:val="single"/>
          </w:rPr>
          <w:t>D1-805</w:t>
        </w:r>
      </w:fldSimple>
      <w:r>
        <w:rPr>
          <w:rFonts w:ascii="Times New Roman" w:eastAsia="MS Mincho" w:hAnsi="Times New Roman"/>
          <w:sz w:val="20"/>
          <w:i/>
          <w:iCs/>
        </w:rPr>
        <w:t>,
2017-10-02,
paskelbta TAR 2017-10-03, i. k. 2017-15563            </w:t>
      </w:r>
    </w:p>
    <w:p/>
    <w:p>
      <w:pPr>
        <w:suppressAutoHyphens/>
        <w:spacing w:line="276" w:lineRule="auto"/>
        <w:ind w:firstLine="567"/>
        <w:jc w:val="both"/>
        <w:rPr>
          <w:szCs w:val="24"/>
        </w:rPr>
      </w:pPr>
      <w:r>
        <w:rPr>
          <w:szCs w:val="24"/>
          <w:lang w:eastAsia="lt-LT"/>
        </w:rPr>
        <w:t>15</w:t>
      </w:r>
      <w:r>
        <w:rPr>
          <w:szCs w:val="24"/>
          <w:lang w:eastAsia="lt-LT"/>
        </w:rPr>
        <w:t>.</w:t>
      </w:r>
      <w:r>
        <w:rPr>
          <w:rFonts w:eastAsia="Calibri"/>
          <w:szCs w:val="24"/>
        </w:rPr>
        <w:t xml:space="preserve"> </w:t>
      </w:r>
      <w:r>
        <w:rPr>
          <w:szCs w:val="24"/>
          <w:lang w:eastAsia="lt-LT"/>
        </w:rPr>
        <w:t>Preliminari namo atnaujinimo (modernizavimo) priemonių įgyvendinimo (statybos darbų) kaina, nurodant konstrukcinių sprendimų principus, technines charakteristikas, šilumos perdavimo koeficientus ir kitus rodiklius nustatoma vadovaujantis įkainiais, skelbiamais VšĮ CPO LT interneto svetainėje.</w:t>
      </w:r>
      <w:r>
        <w:rPr>
          <w:b/>
          <w:bCs/>
          <w:szCs w:val="24"/>
          <w:lang w:eastAsia="lt-LT"/>
        </w:rPr>
        <w:t xml:space="preserve"> </w:t>
      </w:r>
      <w:r>
        <w:rPr>
          <w:szCs w:val="24"/>
          <w:lang w:eastAsia="lt-LT"/>
        </w:rPr>
        <w:t>Darbų kiekis nustatomas pagal natūrinių matavimų duomenis. Investicijų dalis, tenkanti kitoms (ne namo energinį efektyvumą didinančioms) priemonėms, nurodytoms Programos priede, neturi viršyti 20 procentų nuo bendros investicijų sumos.</w:t>
      </w:r>
      <w:r>
        <w:t xml:space="preserve"> </w:t>
      </w:r>
    </w:p>
    <w:p>
      <w:pPr>
        <w:pStyle w:val="PlainText"/>
        <w:rPr>
          <w:rFonts w:ascii="Times New Roman" w:eastAsia="MS Mincho" w:hAnsi="Times New Roman"/>
          <w:sz w:val="20"/>
          <w:i/>
          <w:iCs/>
        </w:rPr>
      </w:pPr>
      <w:r>
        <w:rPr>
          <w:rFonts w:ascii="Times New Roman" w:eastAsia="MS Mincho" w:hAnsi="Times New Roman"/>
          <w:sz w:val="20"/>
          <w:i/>
          <w:iCs/>
        </w:rPr>
        <w:t>Punkto pakeitimai:</w:t>
      </w:r>
    </w:p>
    <w:p>
      <w:pPr>
        <w:pStyle w:val="PlainText"/>
        <w:jc w:val="both"/>
        <w:rPr>
          <w:rFonts w:ascii="Times New Roman" w:eastAsia="MS Mincho" w:hAnsi="Times New Roman"/>
          <w:sz w:val="20"/>
          <w:i/>
          <w:iCs/>
        </w:rPr>
      </w:pPr>
      <w:r>
        <w:rPr>
          <w:rFonts w:ascii="Times New Roman" w:eastAsia="MS Mincho" w:hAnsi="Times New Roman"/>
          <w:sz w:val="20"/>
          <w:i/>
          <w:iCs/>
        </w:rPr>
        <w:t xml:space="preserve">Nr. </w:t>
      </w:r>
      <w:fldSimple w:instr="HYPERLINK https://www.e-tar.lt/portal/legalAct.html?documentId=3ccee0e0a81511e78a4c904b1afa0332">
        <w:r w:rsidRPr="00532B9F">
          <w:rPr>
            <w:rFonts w:ascii="Times New Roman" w:eastAsia="MS Mincho" w:hAnsi="Times New Roman"/>
            <w:sz w:val="20"/>
            <w:i/>
            <w:iCs/>
            <w:color w:val="0000FF" w:themeColor="hyperlink"/>
            <w:u w:val="single"/>
          </w:rPr>
          <w:t>D1-805</w:t>
        </w:r>
      </w:fldSimple>
      <w:r>
        <w:rPr>
          <w:rFonts w:ascii="Times New Roman" w:eastAsia="MS Mincho" w:hAnsi="Times New Roman"/>
          <w:sz w:val="20"/>
          <w:i/>
          <w:iCs/>
        </w:rPr>
        <w:t>,
2017-10-02,
paskelbta TAR 2017-10-03, i. k. 2017-15563            </w:t>
      </w:r>
    </w:p>
    <w:p>
      <w:pPr>
        <w:pStyle w:val="PlainText"/>
        <w:jc w:val="both"/>
        <w:rPr>
          <w:rFonts w:ascii="Times New Roman" w:eastAsia="MS Mincho" w:hAnsi="Times New Roman"/>
          <w:sz w:val="20"/>
          <w:i/>
          <w:iCs/>
        </w:rPr>
      </w:pPr>
      <w:r>
        <w:rPr>
          <w:rFonts w:ascii="Times New Roman" w:eastAsia="MS Mincho" w:hAnsi="Times New Roman"/>
          <w:sz w:val="20"/>
          <w:i/>
          <w:iCs/>
        </w:rPr>
        <w:t xml:space="preserve">Nr. </w:t>
      </w:r>
      <w:fldSimple w:instr="HYPERLINK https://www.e-tar.lt/portal/legalAct.html?documentId=edc5df10be8011e9840ec0427c781bac">
        <w:r w:rsidRPr="00532B9F">
          <w:rPr>
            <w:rFonts w:ascii="Times New Roman" w:eastAsia="MS Mincho" w:hAnsi="Times New Roman"/>
            <w:sz w:val="20"/>
            <w:i/>
            <w:iCs/>
            <w:color w:val="0000FF" w:themeColor="hyperlink"/>
            <w:u w:val="single"/>
          </w:rPr>
          <w:t>D1-488</w:t>
        </w:r>
      </w:fldSimple>
      <w:r>
        <w:rPr>
          <w:rFonts w:ascii="Times New Roman" w:eastAsia="MS Mincho" w:hAnsi="Times New Roman"/>
          <w:sz w:val="20"/>
          <w:i/>
          <w:iCs/>
        </w:rPr>
        <w:t>,
2019-08-14,
paskelbta TAR 2019-08-14, i. k. 2019-13160            </w:t>
      </w:r>
    </w:p>
    <w:p/>
    <w:p>
      <w:pPr>
        <w:tabs>
          <w:tab w:val="left" w:pos="-1843"/>
        </w:tabs>
        <w:suppressAutoHyphens/>
        <w:spacing w:line="276" w:lineRule="auto"/>
        <w:ind w:firstLine="567"/>
        <w:jc w:val="both"/>
        <w:rPr>
          <w:szCs w:val="24"/>
        </w:rPr>
      </w:pPr>
      <w:r>
        <w:rPr>
          <w:szCs w:val="24"/>
          <w:lang w:eastAsia="lt-LT"/>
        </w:rPr>
        <w:t>16</w:t>
      </w:r>
      <w:r>
        <w:rPr>
          <w:szCs w:val="24"/>
          <w:lang w:eastAsia="lt-LT"/>
        </w:rPr>
        <w:t>. Projekto parengimo ir įgyvendinimo suvestinė kaina nustatoma sumuojant skaičiuojamąją statybos darbų kainą, projektavimo darbų kainą (įskaitant Investicijų planą, techninio darbo projekto parengimą ir</w:t>
      </w:r>
      <w:r>
        <w:rPr>
          <w:b/>
          <w:bCs/>
          <w:szCs w:val="24"/>
          <w:lang w:eastAsia="lt-LT"/>
        </w:rPr>
        <w:t xml:space="preserve"> </w:t>
      </w:r>
      <w:r>
        <w:rPr>
          <w:szCs w:val="24"/>
          <w:lang w:eastAsia="lt-LT"/>
        </w:rPr>
        <w:t>ekspertizę,</w:t>
      </w:r>
      <w:r>
        <w:rPr>
          <w:rFonts w:eastAsia="Calibri"/>
          <w:szCs w:val="24"/>
          <w:lang w:eastAsia="lt-LT"/>
        </w:rPr>
        <w:t xml:space="preserve"> pastato energinio naudingumo sertifikato, parengto ir išduoto prieš atnaujinimo (modernizavimo) priemonių įgyvendinimą, pastato energinio naudingumo sertifikato, parengto ir išduoto po atnaujinimo (modernizavimo) priemonių įgyvendinimo, parengimo, </w:t>
      </w:r>
      <w:r>
        <w:rPr>
          <w:szCs w:val="24"/>
          <w:lang w:eastAsia="lt-LT"/>
        </w:rPr>
        <w:t>techninės (projektavimo) užduoties, topografinio plano parengimo, prisijungimo sąlygų, specialiųjų reikalavimų gavimo, statybą leidžiančio dokumento išdavimo išlaidas), statinio statybos techninės priežiūros ir projekto įgyvendinimo administravimo išlaidas (projekto parengimo, statinio</w:t>
      </w:r>
      <w:r>
        <w:rPr>
          <w:b/>
          <w:bCs/>
          <w:szCs w:val="24"/>
          <w:lang w:eastAsia="lt-LT"/>
        </w:rPr>
        <w:t xml:space="preserve"> </w:t>
      </w:r>
      <w:r>
        <w:rPr>
          <w:szCs w:val="24"/>
          <w:lang w:eastAsia="lt-LT"/>
        </w:rPr>
        <w:t>statybos techninės priežiūros ir projekto įgyvendinimo administravimo paslaugų kaina nustatoma atsižvelgus į Nutarime nurodytus šių išlaidų apmokėjimo ir kompensavimo dydžius).</w:t>
      </w:r>
      <w:r>
        <w:t xml:space="preserve"> </w:t>
      </w:r>
    </w:p>
    <w:p>
      <w:pPr>
        <w:pStyle w:val="PlainText"/>
        <w:rPr>
          <w:rFonts w:ascii="Times New Roman" w:eastAsia="MS Mincho" w:hAnsi="Times New Roman"/>
          <w:sz w:val="20"/>
          <w:i/>
          <w:iCs/>
        </w:rPr>
      </w:pPr>
      <w:r>
        <w:rPr>
          <w:rFonts w:ascii="Times New Roman" w:eastAsia="MS Mincho" w:hAnsi="Times New Roman"/>
          <w:sz w:val="20"/>
          <w:i/>
          <w:iCs/>
        </w:rPr>
        <w:t>Punkto pakeitimai:</w:t>
      </w:r>
    </w:p>
    <w:p>
      <w:pPr>
        <w:pStyle w:val="PlainText"/>
        <w:jc w:val="both"/>
        <w:rPr>
          <w:rFonts w:ascii="Times New Roman" w:eastAsia="MS Mincho" w:hAnsi="Times New Roman"/>
          <w:sz w:val="20"/>
          <w:i/>
          <w:iCs/>
        </w:rPr>
      </w:pPr>
      <w:r>
        <w:rPr>
          <w:rFonts w:ascii="Times New Roman" w:eastAsia="MS Mincho" w:hAnsi="Times New Roman"/>
          <w:sz w:val="20"/>
          <w:i/>
          <w:iCs/>
        </w:rPr>
        <w:t xml:space="preserve">Nr. </w:t>
      </w:r>
      <w:fldSimple w:instr="HYPERLINK https://www.e-tar.lt/portal/legalAct.html?documentId=481058507e6b11e6b969d7ae07280e89">
        <w:r w:rsidRPr="00532B9F">
          <w:rPr>
            <w:rFonts w:ascii="Times New Roman" w:eastAsia="MS Mincho" w:hAnsi="Times New Roman"/>
            <w:sz w:val="20"/>
            <w:i/>
            <w:iCs/>
            <w:color w:val="0000FF" w:themeColor="hyperlink"/>
            <w:u w:val="single"/>
          </w:rPr>
          <w:t>D1-620</w:t>
        </w:r>
      </w:fldSimple>
      <w:r>
        <w:rPr>
          <w:rFonts w:ascii="Times New Roman" w:eastAsia="MS Mincho" w:hAnsi="Times New Roman"/>
          <w:sz w:val="20"/>
          <w:i/>
          <w:iCs/>
        </w:rPr>
        <w:t>,
2016-09-19,
paskelbta TAR 2016-09-19, i. k. 2016-23697            </w:t>
      </w:r>
    </w:p>
    <w:p>
      <w:pPr>
        <w:pStyle w:val="PlainText"/>
        <w:jc w:val="both"/>
        <w:rPr>
          <w:rFonts w:ascii="Times New Roman" w:eastAsia="MS Mincho" w:hAnsi="Times New Roman"/>
          <w:sz w:val="20"/>
          <w:i/>
          <w:iCs/>
        </w:rPr>
      </w:pPr>
      <w:r>
        <w:rPr>
          <w:rFonts w:ascii="Times New Roman" w:eastAsia="MS Mincho" w:hAnsi="Times New Roman"/>
          <w:sz w:val="20"/>
          <w:i/>
          <w:iCs/>
        </w:rPr>
        <w:t xml:space="preserve">Nr. </w:t>
      </w:r>
      <w:fldSimple w:instr="HYPERLINK https://www.e-tar.lt/portal/legalAct.html?documentId=3ccee0e0a81511e78a4c904b1afa0332">
        <w:r w:rsidRPr="00532B9F">
          <w:rPr>
            <w:rFonts w:ascii="Times New Roman" w:eastAsia="MS Mincho" w:hAnsi="Times New Roman"/>
            <w:sz w:val="20"/>
            <w:i/>
            <w:iCs/>
            <w:color w:val="0000FF" w:themeColor="hyperlink"/>
            <w:u w:val="single"/>
          </w:rPr>
          <w:t>D1-805</w:t>
        </w:r>
      </w:fldSimple>
      <w:r>
        <w:rPr>
          <w:rFonts w:ascii="Times New Roman" w:eastAsia="MS Mincho" w:hAnsi="Times New Roman"/>
          <w:sz w:val="20"/>
          <w:i/>
          <w:iCs/>
        </w:rPr>
        <w:t>,
2017-10-02,
paskelbta TAR 2017-10-03, i. k. 2017-15563            </w:t>
      </w:r>
    </w:p>
    <w:p>
      <w:pPr>
        <w:pStyle w:val="PlainText"/>
        <w:jc w:val="both"/>
        <w:rPr>
          <w:rFonts w:ascii="Times New Roman" w:eastAsia="MS Mincho" w:hAnsi="Times New Roman"/>
          <w:sz w:val="20"/>
          <w:i/>
          <w:iCs/>
        </w:rPr>
      </w:pPr>
      <w:r>
        <w:rPr>
          <w:rFonts w:ascii="Times New Roman" w:eastAsia="MS Mincho" w:hAnsi="Times New Roman"/>
          <w:sz w:val="20"/>
          <w:i/>
          <w:iCs/>
        </w:rPr>
        <w:t xml:space="preserve">Nr. </w:t>
      </w:r>
      <w:fldSimple w:instr="HYPERLINK https://www.e-tar.lt/portal/legalAct.html?documentId=edc5df10be8011e9840ec0427c781bac">
        <w:r w:rsidRPr="00532B9F">
          <w:rPr>
            <w:rFonts w:ascii="Times New Roman" w:eastAsia="MS Mincho" w:hAnsi="Times New Roman"/>
            <w:sz w:val="20"/>
            <w:i/>
            <w:iCs/>
            <w:color w:val="0000FF" w:themeColor="hyperlink"/>
            <w:u w:val="single"/>
          </w:rPr>
          <w:t>D1-488</w:t>
        </w:r>
      </w:fldSimple>
      <w:r>
        <w:rPr>
          <w:rFonts w:ascii="Times New Roman" w:eastAsia="MS Mincho" w:hAnsi="Times New Roman"/>
          <w:sz w:val="20"/>
          <w:i/>
          <w:iCs/>
        </w:rPr>
        <w:t>,
2019-08-14,
paskelbta TAR 2019-08-14, i. k. 2019-13160            </w:t>
      </w:r>
    </w:p>
    <w:p/>
    <w:p>
      <w:pPr>
        <w:tabs>
          <w:tab w:val="left" w:pos="0"/>
        </w:tabs>
        <w:ind w:firstLine="567"/>
        <w:jc w:val="both"/>
        <w:rPr>
          <w:szCs w:val="24"/>
        </w:rPr>
      </w:pPr>
      <w:r>
        <w:rPr>
          <w:rFonts w:eastAsia="Calibri"/>
          <w:szCs w:val="24"/>
        </w:rPr>
        <w:t>17</w:t>
      </w:r>
      <w:r>
        <w:rPr>
          <w:rFonts w:eastAsia="Calibri"/>
          <w:szCs w:val="24"/>
        </w:rPr>
        <w:t xml:space="preserve">. Investicijų ekonominis naudingumas nustatomas įvertinant investicijų paprastojo atsipirkimo laiką pagal projekto parengimo ir įgyvendinimo suvestinę kainą ir pagal projekto įgyvendinimo išlaidas, tenkančias namo buto ir kitų patalpų savininkams, atėmus valstybės paramą. Į valstybės paramos sumą neįskaitoma valstybės parama teikiama nepasiturintiems gyventojams, kuri teikiama pagal Piniginės socialinės paramos nepasiturintiems gyventojams įstatymą. Atskirai įvertinamas  įgyvendinamų energiją taupančių priemonių atsipirkimo laikas. Investicijų ekonominis naudingumas gali būti nustatomas vadovaujantis Daugiabučio namo atnaujinimo (modernizavimo) investicijų ekonominio naudingumo įvertinimo metodika, kuri pateikta Aplinkos ministerijos interneto svetainėje: </w:t>
      </w:r>
      <w:r>
        <w:rPr>
          <w:rFonts w:eastAsia="Calibri"/>
          <w:szCs w:val="24"/>
          <w:u w:val="single"/>
        </w:rPr>
        <w:t>www.am.lt</w:t>
      </w:r>
      <w:r>
        <w:rPr>
          <w:rFonts w:eastAsia="Calibri"/>
          <w:szCs w:val="24"/>
        </w:rPr>
        <w:t xml:space="preserve"> rubrikoje statyba ir būstas/būstas/būsto teisinis reglamentavimas/valstybės parama būstui modernizuoti. Investicijų ekonominis naudingumas gali būti iliustruotas grafiškai.</w:t>
      </w:r>
      <w:r>
        <w:t xml:space="preserve"> </w:t>
      </w:r>
    </w:p>
    <w:p>
      <w:pPr>
        <w:pStyle w:val="PlainText"/>
        <w:rPr>
          <w:rFonts w:ascii="Times New Roman" w:eastAsia="MS Mincho" w:hAnsi="Times New Roman"/>
          <w:sz w:val="20"/>
          <w:i/>
          <w:iCs/>
        </w:rPr>
      </w:pPr>
      <w:r>
        <w:rPr>
          <w:rFonts w:ascii="Times New Roman" w:eastAsia="MS Mincho" w:hAnsi="Times New Roman"/>
          <w:sz w:val="20"/>
          <w:i/>
          <w:iCs/>
        </w:rPr>
        <w:t>Punkto pakeitimai:</w:t>
      </w:r>
    </w:p>
    <w:p>
      <w:pPr>
        <w:pStyle w:val="PlainText"/>
        <w:jc w:val="both"/>
        <w:rPr>
          <w:rFonts w:ascii="Times New Roman" w:eastAsia="MS Mincho" w:hAnsi="Times New Roman"/>
          <w:sz w:val="20"/>
          <w:i/>
          <w:iCs/>
        </w:rPr>
      </w:pPr>
      <w:r>
        <w:rPr>
          <w:rFonts w:ascii="Times New Roman" w:eastAsia="MS Mincho" w:hAnsi="Times New Roman"/>
          <w:sz w:val="20"/>
          <w:i/>
          <w:iCs/>
        </w:rPr>
        <w:t xml:space="preserve">Nr. </w:t>
      </w:r>
      <w:fldSimple w:instr="HYPERLINK https://www.e-tar.lt/portal/legalAct.html?documentId=3ccee0e0a81511e78a4c904b1afa0332">
        <w:r w:rsidRPr="00532B9F">
          <w:rPr>
            <w:rFonts w:ascii="Times New Roman" w:eastAsia="MS Mincho" w:hAnsi="Times New Roman"/>
            <w:sz w:val="20"/>
            <w:i/>
            <w:iCs/>
            <w:color w:val="0000FF" w:themeColor="hyperlink"/>
            <w:u w:val="single"/>
          </w:rPr>
          <w:t>D1-805</w:t>
        </w:r>
      </w:fldSimple>
      <w:r>
        <w:rPr>
          <w:rFonts w:ascii="Times New Roman" w:eastAsia="MS Mincho" w:hAnsi="Times New Roman"/>
          <w:sz w:val="20"/>
          <w:i/>
          <w:iCs/>
        </w:rPr>
        <w:t>,
2017-10-02,
paskelbta TAR 2017-10-03, i. k. 2017-15563            </w:t>
      </w:r>
    </w:p>
    <w:p/>
    <w:p>
      <w:pPr>
        <w:suppressAutoHyphens/>
        <w:spacing w:line="276" w:lineRule="auto"/>
        <w:ind w:firstLine="567"/>
        <w:rPr>
          <w:szCs w:val="24"/>
          <w:lang w:eastAsia="ar-SA"/>
        </w:rPr>
      </w:pPr>
      <w:r>
        <w:rPr>
          <w:szCs w:val="24"/>
          <w:lang w:eastAsia="lt-LT"/>
        </w:rPr>
        <w:t>18</w:t>
      </w:r>
      <w:r>
        <w:rPr>
          <w:szCs w:val="24"/>
          <w:lang w:eastAsia="lt-LT"/>
        </w:rPr>
        <w:t>. Projektas turi būti įgyvendintas per dvejus metus.</w:t>
      </w:r>
      <w:r>
        <w:t xml:space="preserve"> </w:t>
      </w:r>
    </w:p>
    <w:p>
      <w:pPr>
        <w:pStyle w:val="PlainText"/>
        <w:rPr>
          <w:rFonts w:ascii="Times New Roman" w:eastAsia="MS Mincho" w:hAnsi="Times New Roman"/>
          <w:sz w:val="20"/>
          <w:i/>
          <w:iCs/>
        </w:rPr>
      </w:pPr>
      <w:r>
        <w:rPr>
          <w:rFonts w:ascii="Times New Roman" w:eastAsia="MS Mincho" w:hAnsi="Times New Roman"/>
          <w:sz w:val="20"/>
          <w:i/>
          <w:iCs/>
        </w:rPr>
        <w:t>Punkto pakeitimai:</w:t>
      </w:r>
    </w:p>
    <w:p>
      <w:pPr>
        <w:pStyle w:val="PlainText"/>
        <w:jc w:val="both"/>
        <w:rPr>
          <w:rFonts w:ascii="Times New Roman" w:eastAsia="MS Mincho" w:hAnsi="Times New Roman"/>
          <w:sz w:val="20"/>
          <w:i/>
          <w:iCs/>
        </w:rPr>
      </w:pPr>
      <w:r>
        <w:rPr>
          <w:rFonts w:ascii="Times New Roman" w:eastAsia="MS Mincho" w:hAnsi="Times New Roman"/>
          <w:sz w:val="20"/>
          <w:i/>
          <w:iCs/>
        </w:rPr>
        <w:t xml:space="preserve">Nr. </w:t>
      </w:r>
      <w:fldSimple w:instr="HYPERLINK https://www.e-tar.lt/portal/legalAct.html?documentId=edc5df10be8011e9840ec0427c781bac">
        <w:r w:rsidRPr="00532B9F">
          <w:rPr>
            <w:rFonts w:ascii="Times New Roman" w:eastAsia="MS Mincho" w:hAnsi="Times New Roman"/>
            <w:sz w:val="20"/>
            <w:i/>
            <w:iCs/>
            <w:color w:val="0000FF" w:themeColor="hyperlink"/>
            <w:u w:val="single"/>
          </w:rPr>
          <w:t>D1-488</w:t>
        </w:r>
      </w:fldSimple>
      <w:r>
        <w:rPr>
          <w:rFonts w:ascii="Times New Roman" w:eastAsia="MS Mincho" w:hAnsi="Times New Roman"/>
          <w:sz w:val="20"/>
          <w:i/>
          <w:iCs/>
        </w:rPr>
        <w:t>,
2019-08-14,
paskelbta TAR 2019-08-14, i. k. 2019-13160            </w:t>
      </w:r>
    </w:p>
    <w:p/>
    <w:p>
      <w:pPr>
        <w:tabs>
          <w:tab w:val="left" w:pos="0"/>
        </w:tabs>
        <w:ind w:firstLine="567"/>
        <w:jc w:val="both"/>
        <w:rPr>
          <w:szCs w:val="24"/>
        </w:rPr>
      </w:pPr>
      <w:r>
        <w:rPr>
          <w:rFonts w:eastAsia="Calibri"/>
          <w:szCs w:val="24"/>
        </w:rPr>
        <w:t>19</w:t>
      </w:r>
      <w:r>
        <w:rPr>
          <w:rFonts w:eastAsia="Calibri"/>
          <w:szCs w:val="24"/>
        </w:rPr>
        <w:t>. Projekto finansavimo planas rengiamas vadovaujantis projekto rengimo ir įgyvendinimo suvestine kaina, užsakovo pateiktais duomenimis apie butų ir kitų patalpų savininkų planus finansuoti projektą savo lėšomis, taip pat kitomis lėšomis (jei tokios numatytos ir patvirtintos atitinkamomis sutartimis), neįskaitant valstybės paramos, kuri suteikiama kompensuojant išlaidas ar jų dalį tik įgyvendinus projektą arba jo pirmąjį etapą. Finansavimo plane nurodomos butų ir kitų patalpų savininkų nuosavos lėšos, kredito dydis ir kitos lėšos (jei jos numatytos). Valstybės paramos dydis apskaičiuojamas vadovaujantis Valstybės paramos taisyklėmis.</w:t>
      </w:r>
      <w:r>
        <w:t xml:space="preserve"> </w:t>
      </w:r>
    </w:p>
    <w:p>
      <w:pPr>
        <w:pStyle w:val="PlainText"/>
        <w:rPr>
          <w:rFonts w:ascii="Times New Roman" w:eastAsia="MS Mincho" w:hAnsi="Times New Roman"/>
          <w:sz w:val="20"/>
          <w:i/>
          <w:iCs/>
        </w:rPr>
      </w:pPr>
      <w:r>
        <w:rPr>
          <w:rFonts w:ascii="Times New Roman" w:eastAsia="MS Mincho" w:hAnsi="Times New Roman"/>
          <w:sz w:val="20"/>
          <w:i/>
          <w:iCs/>
        </w:rPr>
        <w:t>Punkto pakeitimai:</w:t>
      </w:r>
    </w:p>
    <w:p>
      <w:pPr>
        <w:pStyle w:val="PlainText"/>
        <w:jc w:val="both"/>
        <w:rPr>
          <w:rFonts w:ascii="Times New Roman" w:eastAsia="MS Mincho" w:hAnsi="Times New Roman"/>
          <w:sz w:val="20"/>
          <w:i/>
          <w:iCs/>
        </w:rPr>
      </w:pPr>
      <w:r>
        <w:rPr>
          <w:rFonts w:ascii="Times New Roman" w:eastAsia="MS Mincho" w:hAnsi="Times New Roman"/>
          <w:sz w:val="20"/>
          <w:i/>
          <w:iCs/>
        </w:rPr>
        <w:t xml:space="preserve">Nr. </w:t>
      </w:r>
      <w:fldSimple w:instr="HYPERLINK https://www.e-tar.lt/portal/legalAct.html?documentId=481058507e6b11e6b969d7ae07280e89">
        <w:r w:rsidRPr="00532B9F">
          <w:rPr>
            <w:rFonts w:ascii="Times New Roman" w:eastAsia="MS Mincho" w:hAnsi="Times New Roman"/>
            <w:sz w:val="20"/>
            <w:i/>
            <w:iCs/>
            <w:color w:val="0000FF" w:themeColor="hyperlink"/>
            <w:u w:val="single"/>
          </w:rPr>
          <w:t>D1-620</w:t>
        </w:r>
      </w:fldSimple>
      <w:r>
        <w:rPr>
          <w:rFonts w:ascii="Times New Roman" w:eastAsia="MS Mincho" w:hAnsi="Times New Roman"/>
          <w:sz w:val="20"/>
          <w:i/>
          <w:iCs/>
        </w:rPr>
        <w:t>,
2016-09-19,
paskelbta TAR 2016-09-19, i. k. 2016-23697            </w:t>
      </w:r>
    </w:p>
    <w:p>
      <w:pPr>
        <w:pStyle w:val="PlainText"/>
        <w:jc w:val="both"/>
        <w:rPr>
          <w:rFonts w:ascii="Times New Roman" w:eastAsia="MS Mincho" w:hAnsi="Times New Roman"/>
          <w:sz w:val="20"/>
          <w:i/>
          <w:iCs/>
        </w:rPr>
      </w:pPr>
      <w:r>
        <w:rPr>
          <w:rFonts w:ascii="Times New Roman" w:eastAsia="MS Mincho" w:hAnsi="Times New Roman"/>
          <w:sz w:val="20"/>
          <w:i/>
          <w:iCs/>
        </w:rPr>
        <w:t xml:space="preserve">Nr. </w:t>
      </w:r>
      <w:fldSimple w:instr="HYPERLINK https://www.e-tar.lt/portal/legalAct.html?documentId=3ccee0e0a81511e78a4c904b1afa0332">
        <w:r w:rsidRPr="00532B9F">
          <w:rPr>
            <w:rFonts w:ascii="Times New Roman" w:eastAsia="MS Mincho" w:hAnsi="Times New Roman"/>
            <w:sz w:val="20"/>
            <w:i/>
            <w:iCs/>
            <w:color w:val="0000FF" w:themeColor="hyperlink"/>
            <w:u w:val="single"/>
          </w:rPr>
          <w:t>D1-805</w:t>
        </w:r>
      </w:fldSimple>
      <w:r>
        <w:rPr>
          <w:rFonts w:ascii="Times New Roman" w:eastAsia="MS Mincho" w:hAnsi="Times New Roman"/>
          <w:sz w:val="20"/>
          <w:i/>
          <w:iCs/>
        </w:rPr>
        <w:t>,
2017-10-02,
paskelbta TAR 2017-10-03, i. k. 2017-15563            </w:t>
      </w:r>
    </w:p>
    <w:p/>
    <w:p>
      <w:pPr>
        <w:tabs>
          <w:tab w:val="left" w:pos="0"/>
        </w:tabs>
        <w:ind w:firstLine="567"/>
        <w:jc w:val="both"/>
        <w:rPr>
          <w:szCs w:val="24"/>
          <w:lang w:eastAsia="ar-SA"/>
        </w:rPr>
      </w:pPr>
      <w:r>
        <w:rPr>
          <w:rFonts w:eastAsia="Calibri"/>
          <w:szCs w:val="24"/>
        </w:rPr>
        <w:t>20</w:t>
      </w:r>
      <w:r>
        <w:rPr>
          <w:rFonts w:eastAsia="Calibri"/>
          <w:szCs w:val="24"/>
        </w:rPr>
        <w:t>. Finansavimo planas detalizuojamas parengiant preliminarų investicijų paskirstymą butų ir kitų patalpų savininkams (Tvarkos aprašo 1 priedo 11, 12 lentelės). Paskirstant lėšas butų ir kitų patalpų savininkams, įvertinamos bendrosios investicijos, kurios paskirstomos proporcingai daliai bendrojoje nuosavybėje (buto ir kitų patalpų naudingajam (bendrajam) plotui ir individualios investicijos (buto ar kitų patalpų langų keitimui, balkonų įstiklinimui, rekuperacinių (vėdinimo) sistemų, nesusietų su bendrosiomis pastato inžinerinėmis sistemomis ir skirtų vienos patalpos savininko poreikiams tenkinti, įrengimui ir kitoms priemonėms). Apskaičiuojama investicijų suma, atėmus numatomą valstybės paramą pagal projekto užbaigimo metu galiojančias valstybės paramos teikimo sąlygas, ir kredito suma, tenkanti kiekvienam butui ar kitai patalpai. Be to, kiekvienam butui ar kitai patalpai apskaičiuojamas preliminarus kredito grąžinimo ir palūkanų apmokėjimo mėnesinės įmokos tarifas (eurais/m</w:t>
      </w:r>
      <w:r>
        <w:rPr>
          <w:rFonts w:eastAsia="Calibri"/>
          <w:szCs w:val="24"/>
          <w:vertAlign w:val="superscript"/>
        </w:rPr>
        <w:t>2</w:t>
      </w:r>
      <w:r>
        <w:rPr>
          <w:rFonts w:eastAsia="Calibri"/>
          <w:szCs w:val="24"/>
        </w:rPr>
        <w:t xml:space="preserve"> patalpų naudingojo (bendrojo) ploto), įvertinus valstybės paramą kompensuojant investicijas, tenkančias energinį efektyvumą didinančioms priemonėms. </w:t>
      </w:r>
    </w:p>
    <w:p>
      <w:pPr>
        <w:pStyle w:val="PlainText"/>
        <w:rPr>
          <w:rFonts w:ascii="Times New Roman" w:eastAsia="MS Mincho" w:hAnsi="Times New Roman"/>
          <w:sz w:val="20"/>
          <w:i/>
          <w:iCs/>
        </w:rPr>
      </w:pPr>
      <w:r>
        <w:rPr>
          <w:rFonts w:ascii="Times New Roman" w:eastAsia="MS Mincho" w:hAnsi="Times New Roman"/>
          <w:sz w:val="20"/>
          <w:i/>
          <w:iCs/>
        </w:rPr>
        <w:t>Punkto pakeitimai:</w:t>
      </w:r>
    </w:p>
    <w:p>
      <w:pPr>
        <w:pStyle w:val="PlainText"/>
        <w:jc w:val="both"/>
        <w:rPr>
          <w:rFonts w:ascii="Times New Roman" w:eastAsia="MS Mincho" w:hAnsi="Times New Roman"/>
          <w:sz w:val="20"/>
          <w:i/>
          <w:iCs/>
        </w:rPr>
      </w:pPr>
      <w:r>
        <w:rPr>
          <w:rFonts w:ascii="Times New Roman" w:eastAsia="MS Mincho" w:hAnsi="Times New Roman"/>
          <w:sz w:val="20"/>
          <w:i/>
          <w:iCs/>
        </w:rPr>
        <w:t xml:space="preserve">Nr. </w:t>
      </w:r>
      <w:fldSimple w:instr="HYPERLINK https://www.e-tar.lt/portal/legalAct.html?documentId=481058507e6b11e6b969d7ae07280e89">
        <w:r w:rsidRPr="00532B9F">
          <w:rPr>
            <w:rFonts w:ascii="Times New Roman" w:eastAsia="MS Mincho" w:hAnsi="Times New Roman"/>
            <w:sz w:val="20"/>
            <w:i/>
            <w:iCs/>
            <w:color w:val="0000FF" w:themeColor="hyperlink"/>
            <w:u w:val="single"/>
          </w:rPr>
          <w:t>D1-620</w:t>
        </w:r>
      </w:fldSimple>
      <w:r>
        <w:rPr>
          <w:rFonts w:ascii="Times New Roman" w:eastAsia="MS Mincho" w:hAnsi="Times New Roman"/>
          <w:sz w:val="20"/>
          <w:i/>
          <w:iCs/>
        </w:rPr>
        <w:t>,
2016-09-19,
paskelbta TAR 2016-09-19, i. k. 2016-23697            </w:t>
      </w:r>
    </w:p>
    <w:p>
      <w:pPr>
        <w:pStyle w:val="PlainText"/>
        <w:jc w:val="both"/>
        <w:rPr>
          <w:rFonts w:ascii="Times New Roman" w:eastAsia="MS Mincho" w:hAnsi="Times New Roman"/>
          <w:sz w:val="20"/>
          <w:i/>
          <w:iCs/>
        </w:rPr>
      </w:pPr>
      <w:r>
        <w:rPr>
          <w:rFonts w:ascii="Times New Roman" w:eastAsia="MS Mincho" w:hAnsi="Times New Roman"/>
          <w:sz w:val="20"/>
          <w:i/>
          <w:iCs/>
        </w:rPr>
        <w:t xml:space="preserve">Nr. </w:t>
      </w:r>
      <w:fldSimple w:instr="HYPERLINK https://www.e-tar.lt/portal/legalAct.html?documentId=3ccee0e0a81511e78a4c904b1afa0332">
        <w:r w:rsidRPr="00532B9F">
          <w:rPr>
            <w:rFonts w:ascii="Times New Roman" w:eastAsia="MS Mincho" w:hAnsi="Times New Roman"/>
            <w:sz w:val="20"/>
            <w:i/>
            <w:iCs/>
            <w:color w:val="0000FF" w:themeColor="hyperlink"/>
            <w:u w:val="single"/>
          </w:rPr>
          <w:t>D1-805</w:t>
        </w:r>
      </w:fldSimple>
      <w:r>
        <w:rPr>
          <w:rFonts w:ascii="Times New Roman" w:eastAsia="MS Mincho" w:hAnsi="Times New Roman"/>
          <w:sz w:val="20"/>
          <w:i/>
          <w:iCs/>
        </w:rPr>
        <w:t>,
2017-10-02,
paskelbta TAR 2017-10-03, i. k. 2017-15563            </w:t>
      </w:r>
    </w:p>
    <w:p/>
    <w:p>
      <w:pPr>
        <w:shd w:val="clear" w:color="000000" w:fill="auto"/>
        <w:ind w:firstLine="567"/>
        <w:jc w:val="both"/>
        <w:rPr>
          <w:szCs w:val="24"/>
          <w:lang w:eastAsia="ar-SA"/>
        </w:rPr>
      </w:pPr>
      <w:r>
        <w:rPr>
          <w:szCs w:val="24"/>
          <w:lang w:eastAsia="ar-SA"/>
        </w:rPr>
        <w:t>21</w:t>
      </w:r>
      <w:r>
        <w:rPr>
          <w:szCs w:val="24"/>
          <w:lang w:eastAsia="ar-SA"/>
        </w:rPr>
        <w:t>. Preliminarus kredito gražinimo terminas metais ar mėnesiais nustatomas atsižvelgus į kredito dydį ir didžiausios mėnesinės įmokos dydį (rekomenduojama ne ilgesnis kaip 20 metų).</w:t>
      </w:r>
    </w:p>
    <w:p>
      <w:pPr>
        <w:tabs>
          <w:tab w:val="left" w:pos="0"/>
        </w:tabs>
        <w:ind w:firstLine="567"/>
        <w:jc w:val="both"/>
        <w:rPr>
          <w:rFonts w:eastAsia="Calibri"/>
          <w:strike/>
          <w:szCs w:val="24"/>
        </w:rPr>
      </w:pPr>
      <w:r>
        <w:rPr>
          <w:rFonts w:eastAsia="Calibri"/>
          <w:szCs w:val="24"/>
        </w:rPr>
        <w:t>22</w:t>
      </w:r>
      <w:r>
        <w:rPr>
          <w:rFonts w:eastAsia="Calibri"/>
          <w:szCs w:val="24"/>
        </w:rPr>
        <w:t>. Preliminari mėnesinė įmoka (eurais/m</w:t>
      </w:r>
      <w:r>
        <w:rPr>
          <w:rFonts w:eastAsia="Calibri"/>
          <w:szCs w:val="24"/>
          <w:vertAlign w:val="superscript"/>
        </w:rPr>
        <w:t>2</w:t>
      </w:r>
      <w:r>
        <w:rPr>
          <w:rFonts w:eastAsia="Calibri"/>
          <w:szCs w:val="24"/>
        </w:rPr>
        <w:t>), susijusi su atnaujinimo (modernizavimo) projekto investicijų apmokėjimu (neįskaitant lengvatinio kredito palūkanų) įgyvendinus daugiabučio namo atnaujinimo</w:t>
      </w:r>
      <w:r>
        <w:rPr>
          <w:rFonts w:eastAsia="Calibri"/>
          <w:strike/>
          <w:szCs w:val="24"/>
        </w:rPr>
        <w:t xml:space="preserve"> </w:t>
      </w:r>
      <w:r>
        <w:rPr>
          <w:rFonts w:eastAsia="Calibri"/>
          <w:szCs w:val="24"/>
        </w:rPr>
        <w:t>(modernizavimo) projektą, tenkanti buto naudingojo ploto arba kitų patalpų bendrojo ploto 1 kv. metrui, atėmus teikiamą valstybės paramą, tenkančią daugiabučio namo atnaujinimo (modernizavimo) investicijų plane numatytoms energinį efektyvumą didinančioms priemonėms, neturi būti didesnė (išskyrus atvejus, kai didesnei įmokai raštu pritaria buto ar kitų patalpų savininkas) už apskaičiuotąją pagal formulę:</w:t>
      </w:r>
    </w:p>
    <w:p>
      <w:pPr>
        <w:tabs>
          <w:tab w:val="left" w:pos="0"/>
        </w:tabs>
        <w:ind w:firstLine="567"/>
        <w:jc w:val="both"/>
        <w:rPr>
          <w:rFonts w:eastAsia="Calibri"/>
          <w:strike/>
          <w:szCs w:val="24"/>
        </w:rPr>
      </w:pPr>
      <w:r>
        <w:rPr>
          <w:rFonts w:eastAsia="Calibri"/>
          <w:szCs w:val="24"/>
        </w:rPr>
        <w:t>I = ((Ee - Ep) x Ke/12) x K x Kp x Ka, kur:</w:t>
      </w:r>
    </w:p>
    <w:p>
      <w:pPr>
        <w:tabs>
          <w:tab w:val="left" w:pos="0"/>
        </w:tabs>
        <w:ind w:firstLine="567"/>
        <w:jc w:val="both"/>
        <w:rPr>
          <w:rFonts w:eastAsia="Calibri"/>
          <w:szCs w:val="24"/>
        </w:rPr>
      </w:pPr>
      <w:r>
        <w:rPr>
          <w:rFonts w:eastAsia="Calibri"/>
          <w:szCs w:val="24"/>
        </w:rPr>
        <w:t xml:space="preserve">I - didžiausia daugiabučio namo atnaujinimo  (modernizavimo) projekto įgyvendinimo įmoka (Eur/m-2 per mėnesį);</w:t>
      </w:r>
    </w:p>
    <w:p>
      <w:pPr>
        <w:tabs>
          <w:tab w:val="left" w:pos="0"/>
        </w:tabs>
        <w:ind w:firstLine="567"/>
        <w:jc w:val="both"/>
        <w:rPr>
          <w:rFonts w:eastAsia="Calibri"/>
          <w:szCs w:val="24"/>
        </w:rPr>
      </w:pPr>
      <w:r>
        <w:rPr>
          <w:rFonts w:eastAsia="Calibri"/>
          <w:szCs w:val="24"/>
        </w:rPr>
        <w:t>Ee - skaičiuojamosios šiluminės energijos sąnaudos per metus prieš daugiabučio namo atnaujinimo (modernizavimo) projekto įgyvendinimą (kWh/m-2 per metus);</w:t>
      </w:r>
    </w:p>
    <w:p>
      <w:pPr>
        <w:tabs>
          <w:tab w:val="left" w:pos="0"/>
        </w:tabs>
        <w:ind w:firstLine="567"/>
        <w:jc w:val="both"/>
        <w:rPr>
          <w:rFonts w:eastAsia="Calibri"/>
          <w:szCs w:val="24"/>
        </w:rPr>
      </w:pPr>
      <w:r>
        <w:rPr>
          <w:rFonts w:eastAsia="Calibri"/>
          <w:szCs w:val="24"/>
        </w:rPr>
        <w:t>Ep - skaičiuojamosios šiluminės energijos sąnaudos per metus, įgyvendinus daugiabučio namo atnaujinimo (modernizavimo) projektą (kWh/m-2 per metus);</w:t>
      </w:r>
    </w:p>
    <w:p>
      <w:pPr>
        <w:tabs>
          <w:tab w:val="left" w:pos="0"/>
        </w:tabs>
        <w:ind w:firstLine="567"/>
        <w:jc w:val="both"/>
        <w:rPr>
          <w:rFonts w:eastAsia="Calibri"/>
          <w:szCs w:val="24"/>
        </w:rPr>
      </w:pPr>
      <w:r>
        <w:rPr>
          <w:rFonts w:eastAsia="Calibri"/>
          <w:szCs w:val="24"/>
        </w:rPr>
        <w:t>Ke - šiluminės energijos kainos tarifas, fiksuotas konkrečioje vietovėje Investicijų plano rengimo dieną (Eur/kWh);</w:t>
      </w:r>
    </w:p>
    <w:p>
      <w:pPr>
        <w:tabs>
          <w:tab w:val="left" w:pos="0"/>
        </w:tabs>
        <w:ind w:firstLine="567"/>
        <w:jc w:val="both"/>
        <w:rPr>
          <w:rFonts w:eastAsia="Calibri"/>
          <w:szCs w:val="24"/>
        </w:rPr>
      </w:pPr>
      <w:r>
        <w:rPr>
          <w:rFonts w:eastAsia="Calibri"/>
          <w:szCs w:val="24"/>
        </w:rPr>
        <w:t>12 - mėnesių skaičius per metus (mėn.);</w:t>
      </w:r>
    </w:p>
    <w:p>
      <w:pPr>
        <w:tabs>
          <w:tab w:val="left" w:pos="0"/>
        </w:tabs>
        <w:ind w:firstLine="567"/>
        <w:jc w:val="both"/>
        <w:rPr>
          <w:rFonts w:eastAsia="Calibri"/>
          <w:szCs w:val="24"/>
        </w:rPr>
      </w:pPr>
      <w:r>
        <w:rPr>
          <w:rFonts w:eastAsia="Calibri"/>
          <w:szCs w:val="24"/>
        </w:rPr>
        <w:t>Kp - šiluminės energijos sutaupymo, šiluminės energijos kainos pokyčio įvertinimo paklaidos koeficientas - 1,9;</w:t>
      </w:r>
    </w:p>
    <w:p>
      <w:pPr>
        <w:tabs>
          <w:tab w:val="left" w:pos="0"/>
        </w:tabs>
        <w:ind w:firstLine="567"/>
        <w:jc w:val="both"/>
        <w:rPr>
          <w:rFonts w:eastAsia="Calibri"/>
          <w:szCs w:val="24"/>
        </w:rPr>
      </w:pPr>
      <w:r>
        <w:rPr>
          <w:rFonts w:eastAsia="Calibri"/>
          <w:szCs w:val="24"/>
        </w:rPr>
        <w:t xml:space="preserve">K - koeficientas, įvertinantis investicijų dalį, nesusijusią su energiją  taupančiomis atnaujinimo  (modernizavimo) priemonėmis, atsižvelgiant į Programos, priedo pastabos 4 punktą, - 1,2;</w:t>
      </w:r>
    </w:p>
    <w:p>
      <w:pPr>
        <w:tabs>
          <w:tab w:val="left" w:pos="0"/>
        </w:tabs>
        <w:ind w:firstLine="567"/>
        <w:jc w:val="both"/>
        <w:rPr>
          <w:rFonts w:eastAsia="Calibri"/>
          <w:szCs w:val="24"/>
        </w:rPr>
      </w:pPr>
      <w:r>
        <w:rPr>
          <w:rFonts w:eastAsia="Calibri"/>
          <w:szCs w:val="24"/>
        </w:rPr>
        <w:t>Ka – koeficientas taikomas, kai įgyvendinant projektą įrengiami atsinaujinantys energijos šaltiniai (saulės, vėjo, geoterminės energijos, biokuro ir panašiai) – 1.3.</w:t>
      </w:r>
    </w:p>
    <w:p>
      <w:pPr>
        <w:tabs>
          <w:tab w:val="left" w:pos="0"/>
        </w:tabs>
        <w:ind w:firstLine="567"/>
        <w:jc w:val="both"/>
        <w:rPr>
          <w:strike/>
          <w:szCs w:val="24"/>
          <w:lang w:eastAsia="ar-SA"/>
        </w:rPr>
      </w:pPr>
      <w:r>
        <w:rPr>
          <w:rFonts w:eastAsia="Calibri"/>
          <w:szCs w:val="24"/>
        </w:rPr>
        <w:t>Šios įmokos dydis galioja visam atnaujinimo (modernizavimo) projekto investicijų išmokėjimo laikotarpiui (išskyrus atvejus, kai didesnei įmokai raštu pritaria buto ar kitų patalpų savininkas).</w:t>
      </w:r>
      <w:r>
        <w:t xml:space="preserve"> </w:t>
      </w:r>
    </w:p>
    <w:p>
      <w:pPr>
        <w:pStyle w:val="PlainText"/>
        <w:rPr>
          <w:rFonts w:ascii="Times New Roman" w:eastAsia="MS Mincho" w:hAnsi="Times New Roman"/>
          <w:sz w:val="20"/>
          <w:i/>
          <w:iCs/>
        </w:rPr>
      </w:pPr>
      <w:r>
        <w:rPr>
          <w:rFonts w:ascii="Times New Roman" w:eastAsia="MS Mincho" w:hAnsi="Times New Roman"/>
          <w:sz w:val="20"/>
          <w:i/>
          <w:iCs/>
        </w:rPr>
        <w:t>Punkto pakeitimai:</w:t>
      </w:r>
    </w:p>
    <w:p>
      <w:pPr>
        <w:pStyle w:val="PlainText"/>
        <w:jc w:val="both"/>
        <w:rPr>
          <w:rFonts w:ascii="Times New Roman" w:eastAsia="MS Mincho" w:hAnsi="Times New Roman"/>
          <w:sz w:val="20"/>
          <w:i/>
          <w:iCs/>
        </w:rPr>
      </w:pPr>
      <w:r>
        <w:rPr>
          <w:rFonts w:ascii="Times New Roman" w:eastAsia="MS Mincho" w:hAnsi="Times New Roman"/>
          <w:sz w:val="20"/>
          <w:i/>
          <w:iCs/>
        </w:rPr>
        <w:t xml:space="preserve">Nr. </w:t>
      </w:r>
      <w:fldSimple w:instr="HYPERLINK https://www.e-tar.lt/portal/legalAct.html?documentId=481058507e6b11e6b969d7ae07280e89">
        <w:r w:rsidRPr="00532B9F">
          <w:rPr>
            <w:rFonts w:ascii="Times New Roman" w:eastAsia="MS Mincho" w:hAnsi="Times New Roman"/>
            <w:sz w:val="20"/>
            <w:i/>
            <w:iCs/>
            <w:color w:val="0000FF" w:themeColor="hyperlink"/>
            <w:u w:val="single"/>
          </w:rPr>
          <w:t>D1-620</w:t>
        </w:r>
      </w:fldSimple>
      <w:r>
        <w:rPr>
          <w:rFonts w:ascii="Times New Roman" w:eastAsia="MS Mincho" w:hAnsi="Times New Roman"/>
          <w:sz w:val="20"/>
          <w:i/>
          <w:iCs/>
        </w:rPr>
        <w:t>,
2016-09-19,
paskelbta TAR 2016-09-19, i. k. 2016-23697            </w:t>
      </w:r>
    </w:p>
    <w:p>
      <w:pPr>
        <w:pStyle w:val="PlainText"/>
        <w:jc w:val="both"/>
        <w:rPr>
          <w:rFonts w:ascii="Times New Roman" w:eastAsia="MS Mincho" w:hAnsi="Times New Roman"/>
          <w:sz w:val="20"/>
          <w:i/>
          <w:iCs/>
        </w:rPr>
      </w:pPr>
      <w:r>
        <w:rPr>
          <w:rFonts w:ascii="Times New Roman" w:eastAsia="MS Mincho" w:hAnsi="Times New Roman"/>
          <w:sz w:val="20"/>
          <w:i/>
          <w:iCs/>
        </w:rPr>
        <w:t xml:space="preserve">Nr. </w:t>
      </w:r>
      <w:fldSimple w:instr="HYPERLINK https://www.e-tar.lt/portal/legalAct.html?documentId=3ccee0e0a81511e78a4c904b1afa0332">
        <w:r w:rsidRPr="00532B9F">
          <w:rPr>
            <w:rFonts w:ascii="Times New Roman" w:eastAsia="MS Mincho" w:hAnsi="Times New Roman"/>
            <w:sz w:val="20"/>
            <w:i/>
            <w:iCs/>
            <w:color w:val="0000FF" w:themeColor="hyperlink"/>
            <w:u w:val="single"/>
          </w:rPr>
          <w:t>D1-805</w:t>
        </w:r>
      </w:fldSimple>
      <w:r>
        <w:rPr>
          <w:rFonts w:ascii="Times New Roman" w:eastAsia="MS Mincho" w:hAnsi="Times New Roman"/>
          <w:sz w:val="20"/>
          <w:i/>
          <w:iCs/>
        </w:rPr>
        <w:t>,
2017-10-02,
paskelbta TAR 2017-10-03, i. k. 2017-15563            </w:t>
      </w:r>
    </w:p>
    <w:p/>
    <w:p>
      <w:pPr>
        <w:shd w:val="clear" w:color="000000" w:fill="auto"/>
        <w:tabs>
          <w:tab w:val="left" w:pos="851"/>
          <w:tab w:val="left" w:pos="1134"/>
          <w:tab w:val="left" w:pos="1418"/>
        </w:tabs>
        <w:suppressAutoHyphens/>
        <w:ind w:firstLine="567"/>
        <w:jc w:val="both"/>
        <w:rPr>
          <w:szCs w:val="24"/>
        </w:rPr>
      </w:pPr>
      <w:r>
        <w:rPr>
          <w:szCs w:val="24"/>
          <w:lang w:eastAsia="lt-LT"/>
        </w:rPr>
        <w:t>23</w:t>
      </w:r>
      <w:r>
        <w:rPr>
          <w:szCs w:val="24"/>
          <w:lang w:eastAsia="lt-LT"/>
        </w:rPr>
        <w:t>. Apskaičiuojant didžiausios mėnesinės įmokos dydį pagal nurodytą formulę, įvertinama esamos padėties skaičiuojamųjų šiluminės energijos sąnaudų atitiktis faktinėms šiluminės energijos sąnaudoms pagal Tvarkos aprašo 1 priedo 3 lentelėje pateiktus rodiklius. Jeigu skirtumas tarp skaičiuojamųjų ir faktinių šiluminės energijos sąnaudų patalpų šildymui viršija 15 procentų, skaičiuojamieji šiluminės energijos sąnaudų rodikliai Ee ir Ep gali būti nustatomi atsižvelgus į faktinį šiluminės energijos sąnaudų rodiklį, nurodytą Tvarkos aprašo 1 priedo 3 lentelės 4.1.3 papunktyje. Tada Ee = Ef, kWh/m², Ep = Ef x(1-es), kur: Ee – skaičiuojamosios šiluminės energijos sąnaudos per metus prieš namo atnaujinimo (modernizavimo) projekto įgyvendinimą; Ep – skaičiuojamosios šiluminės energijos sąnaudos per metus įgyvendinus namo atnaujinimo (modernizavimo) projektą; Ef – faktinės šiluminės energijos sąnaudos, nurodytos Tvarkos aprašo 1 priedo 3 lentelės 4.1.3 papunktyje; es – skaičiuojamųjų šiluminės energijos sąnaudų patalpų šildymui sumažėjimo, palyginus su esama padėtimi, procentinė dalis, nurodyta Tvarkos aprašo 1 priedo 5 lentelės 6.3 papunktyje. Jei preliminarus mėnesinės įmokos tarifas, tenkantis konkrečiam butui, viršija didžiausią (leistiną) įmoką, tvirtinant Investicijų planą reikia gauti to buto savininko sutikimą raštu arba koreguojamas investicijų dydis ar ilginamas kredito grąžinimo terminas.</w:t>
      </w:r>
      <w:r>
        <w:t xml:space="preserve"> </w:t>
      </w:r>
    </w:p>
    <w:p>
      <w:pPr>
        <w:pStyle w:val="PlainText"/>
        <w:rPr>
          <w:rFonts w:ascii="Times New Roman" w:eastAsia="MS Mincho" w:hAnsi="Times New Roman"/>
          <w:sz w:val="20"/>
          <w:i/>
          <w:iCs/>
        </w:rPr>
      </w:pPr>
      <w:r>
        <w:rPr>
          <w:rFonts w:ascii="Times New Roman" w:eastAsia="MS Mincho" w:hAnsi="Times New Roman"/>
          <w:sz w:val="20"/>
          <w:i/>
          <w:iCs/>
        </w:rPr>
        <w:t>Punkto pakeitimai:</w:t>
      </w:r>
    </w:p>
    <w:p>
      <w:pPr>
        <w:pStyle w:val="PlainText"/>
        <w:jc w:val="both"/>
        <w:rPr>
          <w:rFonts w:ascii="Times New Roman" w:eastAsia="MS Mincho" w:hAnsi="Times New Roman"/>
          <w:sz w:val="20"/>
          <w:i/>
          <w:iCs/>
        </w:rPr>
      </w:pPr>
      <w:r>
        <w:rPr>
          <w:rFonts w:ascii="Times New Roman" w:eastAsia="MS Mincho" w:hAnsi="Times New Roman"/>
          <w:sz w:val="20"/>
          <w:i/>
          <w:iCs/>
        </w:rPr>
        <w:t xml:space="preserve">Nr. </w:t>
      </w:r>
      <w:fldSimple w:instr="HYPERLINK https://www.e-tar.lt/portal/legalAct.html?documentId=481058507e6b11e6b969d7ae07280e89">
        <w:r w:rsidRPr="00532B9F">
          <w:rPr>
            <w:rFonts w:ascii="Times New Roman" w:eastAsia="MS Mincho" w:hAnsi="Times New Roman"/>
            <w:sz w:val="20"/>
            <w:i/>
            <w:iCs/>
            <w:color w:val="0000FF" w:themeColor="hyperlink"/>
            <w:u w:val="single"/>
          </w:rPr>
          <w:t>D1-620</w:t>
        </w:r>
      </w:fldSimple>
      <w:r>
        <w:rPr>
          <w:rFonts w:ascii="Times New Roman" w:eastAsia="MS Mincho" w:hAnsi="Times New Roman"/>
          <w:sz w:val="20"/>
          <w:i/>
          <w:iCs/>
        </w:rPr>
        <w:t>,
2016-09-19,
paskelbta TAR 2016-09-19, i. k. 2016-23697            </w:t>
      </w:r>
    </w:p>
    <w:p/>
    <w:p>
      <w:pPr>
        <w:tabs>
          <w:tab w:val="left" w:pos="-1843"/>
        </w:tabs>
        <w:suppressAutoHyphens/>
        <w:spacing w:line="276" w:lineRule="auto"/>
        <w:ind w:firstLine="567"/>
        <w:jc w:val="both"/>
        <w:rPr>
          <w:szCs w:val="24"/>
          <w:lang w:eastAsia="ar-SA"/>
        </w:rPr>
      </w:pPr>
      <w:r>
        <w:rPr>
          <w:szCs w:val="24"/>
          <w:lang w:eastAsia="lt-LT"/>
        </w:rPr>
        <w:t>24</w:t>
      </w:r>
      <w:r>
        <w:rPr>
          <w:szCs w:val="24"/>
          <w:lang w:eastAsia="lt-LT"/>
        </w:rPr>
        <w:t>. Parengtas Investicijų planas viešai aptariamas su namo butų ir kitų patalpų savininkais. Viešąjį aptarimą gyventojams patogiu metu organizuoja, jo tvarką nustato ir jame dalyvauja bendrojo naudojimo objektų valdytojas. Projektą pristato Investicijų plano rengėjas. Į viešąjį aptarimą kviečiamas savivaldybės programos įgyvendinimo administratorius (jei projektas įgyvendinamas pagal savivaldybės patvirtintą Programą), Agentūros atstovas ir kiti su projekto įgyvendinimu susiję asmenys. Po viešojo aptarimo Investicijų planas prireikus patikslinamas. Po viešo aptarimo, jei daugiabučio namo atnaujinimui viešajame aptarime iš esmės pritarta, Investicijų planą tvirtina butų ir kitų patalpų savininkai priimdami sprendimą Valstybės paramos įstatymo 5 straipsnio 1 dalyje nustatyta sprendimų priėmimo tvarka. Butų ir kitų patalpų savininkų sprendimo protokolas turi būti įregistruotas Lietuvos Respublikos vyriausiojo archyvaro 2011 m. gruodžio 20 d. įsakymu Nr. V-152 „Dėl Nevalstybinių organizacijų ir privačių juridinių asmenų dokumentų rengimo, tvarkymo ir apskaitos taisyklių patvirtinimo“ nustatyta tvarka ir įsegamas į Investicijų plano bylą.</w:t>
      </w:r>
      <w:r>
        <w:t xml:space="preserve"> </w:t>
      </w:r>
    </w:p>
    <w:p>
      <w:pPr>
        <w:pStyle w:val="PlainText"/>
        <w:rPr>
          <w:rFonts w:ascii="Times New Roman" w:eastAsia="MS Mincho" w:hAnsi="Times New Roman"/>
          <w:sz w:val="20"/>
          <w:i/>
          <w:iCs/>
        </w:rPr>
      </w:pPr>
      <w:r>
        <w:rPr>
          <w:rFonts w:ascii="Times New Roman" w:eastAsia="MS Mincho" w:hAnsi="Times New Roman"/>
          <w:sz w:val="20"/>
          <w:i/>
          <w:iCs/>
        </w:rPr>
        <w:t>Punkto pakeitimai:</w:t>
      </w:r>
    </w:p>
    <w:p>
      <w:pPr>
        <w:pStyle w:val="PlainText"/>
        <w:jc w:val="both"/>
        <w:rPr>
          <w:rFonts w:ascii="Times New Roman" w:eastAsia="MS Mincho" w:hAnsi="Times New Roman"/>
          <w:sz w:val="20"/>
          <w:i/>
          <w:iCs/>
        </w:rPr>
      </w:pPr>
      <w:r>
        <w:rPr>
          <w:rFonts w:ascii="Times New Roman" w:eastAsia="MS Mincho" w:hAnsi="Times New Roman"/>
          <w:sz w:val="20"/>
          <w:i/>
          <w:iCs/>
        </w:rPr>
        <w:t xml:space="preserve">Nr. </w:t>
      </w:r>
      <w:fldSimple w:instr="HYPERLINK https://www.e-tar.lt/portal/legalAct.html?documentId=3ccee0e0a81511e78a4c904b1afa0332">
        <w:r w:rsidRPr="00532B9F">
          <w:rPr>
            <w:rFonts w:ascii="Times New Roman" w:eastAsia="MS Mincho" w:hAnsi="Times New Roman"/>
            <w:sz w:val="20"/>
            <w:i/>
            <w:iCs/>
            <w:color w:val="0000FF" w:themeColor="hyperlink"/>
            <w:u w:val="single"/>
          </w:rPr>
          <w:t>D1-805</w:t>
        </w:r>
      </w:fldSimple>
      <w:r>
        <w:rPr>
          <w:rFonts w:ascii="Times New Roman" w:eastAsia="MS Mincho" w:hAnsi="Times New Roman"/>
          <w:sz w:val="20"/>
          <w:i/>
          <w:iCs/>
        </w:rPr>
        <w:t>,
2017-10-02,
paskelbta TAR 2017-10-03, i. k. 2017-15563            </w:t>
      </w:r>
    </w:p>
    <w:p>
      <w:pPr>
        <w:pStyle w:val="PlainText"/>
        <w:jc w:val="both"/>
        <w:rPr>
          <w:rFonts w:ascii="Times New Roman" w:eastAsia="MS Mincho" w:hAnsi="Times New Roman"/>
          <w:sz w:val="20"/>
          <w:i/>
          <w:iCs/>
        </w:rPr>
      </w:pPr>
      <w:r>
        <w:rPr>
          <w:rFonts w:ascii="Times New Roman" w:eastAsia="MS Mincho" w:hAnsi="Times New Roman"/>
          <w:sz w:val="20"/>
          <w:i/>
          <w:iCs/>
        </w:rPr>
        <w:t xml:space="preserve">Nr. </w:t>
      </w:r>
      <w:fldSimple w:instr="HYPERLINK https://www.e-tar.lt/portal/legalAct.html?documentId=c3dc8760fa1f11e8a969c20aa4d38bd4">
        <w:r w:rsidRPr="00532B9F">
          <w:rPr>
            <w:rFonts w:ascii="Times New Roman" w:eastAsia="MS Mincho" w:hAnsi="Times New Roman"/>
            <w:sz w:val="20"/>
            <w:i/>
            <w:iCs/>
            <w:color w:val="0000FF" w:themeColor="hyperlink"/>
            <w:u w:val="single"/>
          </w:rPr>
          <w:t>D1-1073</w:t>
        </w:r>
      </w:fldSimple>
      <w:r>
        <w:rPr>
          <w:rFonts w:ascii="Times New Roman" w:eastAsia="MS Mincho" w:hAnsi="Times New Roman"/>
          <w:sz w:val="20"/>
          <w:i/>
          <w:iCs/>
        </w:rPr>
        <w:t>,
2018-12-07,
paskelbta TAR 2018-12-07, i. k. 2018-20118            </w:t>
      </w:r>
    </w:p>
    <w:p/>
    <w:p>
      <w:pPr>
        <w:shd w:val="clear" w:color="000000" w:fill="auto"/>
        <w:tabs>
          <w:tab w:val="left" w:pos="0"/>
          <w:tab w:val="left" w:pos="1134"/>
          <w:tab w:val="left" w:pos="1418"/>
        </w:tabs>
        <w:suppressAutoHyphens/>
        <w:ind w:firstLine="567"/>
        <w:jc w:val="both"/>
        <w:rPr>
          <w:szCs w:val="24"/>
          <w:lang w:eastAsia="ar-SA"/>
        </w:rPr>
      </w:pPr>
      <w:r>
        <w:rPr>
          <w:szCs w:val="24"/>
          <w:lang w:eastAsia="lt-LT"/>
        </w:rPr>
        <w:t>25</w:t>
      </w:r>
      <w:r>
        <w:rPr>
          <w:szCs w:val="24"/>
          <w:lang w:eastAsia="lt-LT"/>
        </w:rPr>
        <w:t xml:space="preserve">. Patikslintas Investicijų planas pateikiamas bendrojo naudojimo objektų valdytojui arba savivaldybės programos įgyvendinimo administratoriui (jeigu paskirtas), kuris įvertina Investicijų plano atitiktį jo rengimo techninei užduočiai ir jo priėmimo faktą patvirtina savo parašu ant Investicijų plano antraštinio lapo. Ant investicijų plano antraštinio lapo pasirašo Investicijų plano rengimo vadovas ir rengėjai. Investicijų plano rengimo vadovas pasirašo ant kiekvieno investicijų plano lapo. Jei Investicijų planas rengiamas pagal savivaldybės programos įgyvendinimo administratoriaus arba savivaldybės užsakymą, parengtas Investicijų plano projektas turi būti suderintas su namo bendrojo naudojimo objektų valdytoju, kuris įvertina projekto atitiktį namo būklei ir jo atnaujinimo poreikiams ir projekto derinimo faktą patvirtina savo parašu ant Investicijų plano antraštinio lapo. Parengus Investicijų planą atliekama jo ekspertizė, jeigu ji privaloma pagal </w:t>
      </w:r>
      <w:r>
        <w:rPr>
          <w:iCs/>
          <w:color w:val="000000"/>
          <w:szCs w:val="24"/>
          <w:lang w:eastAsia="lt-LT"/>
        </w:rPr>
        <w:t>Statybos įstatymą</w:t>
      </w:r>
      <w:r>
        <w:rPr>
          <w:szCs w:val="24"/>
          <w:lang w:eastAsia="lt-LT"/>
        </w:rPr>
        <w:t>. Ekspertizė neįeina į investicijų plano sudėtį ir vykdoma pagal atskirą užsakymą.</w:t>
      </w:r>
      <w:r>
        <w:t xml:space="preserve"> </w:t>
      </w:r>
    </w:p>
    <w:p>
      <w:pPr>
        <w:pStyle w:val="PlainText"/>
        <w:rPr>
          <w:rFonts w:ascii="Times New Roman" w:eastAsia="MS Mincho" w:hAnsi="Times New Roman"/>
          <w:sz w:val="20"/>
          <w:i/>
          <w:iCs/>
        </w:rPr>
      </w:pPr>
      <w:r>
        <w:rPr>
          <w:rFonts w:ascii="Times New Roman" w:eastAsia="MS Mincho" w:hAnsi="Times New Roman"/>
          <w:sz w:val="20"/>
          <w:i/>
          <w:iCs/>
        </w:rPr>
        <w:t>Punkto pakeitimai:</w:t>
      </w:r>
    </w:p>
    <w:p>
      <w:pPr>
        <w:pStyle w:val="PlainText"/>
        <w:jc w:val="both"/>
        <w:rPr>
          <w:rFonts w:ascii="Times New Roman" w:eastAsia="MS Mincho" w:hAnsi="Times New Roman"/>
          <w:sz w:val="20"/>
          <w:i/>
          <w:iCs/>
        </w:rPr>
      </w:pPr>
      <w:r>
        <w:rPr>
          <w:rFonts w:ascii="Times New Roman" w:eastAsia="MS Mincho" w:hAnsi="Times New Roman"/>
          <w:sz w:val="20"/>
          <w:i/>
          <w:iCs/>
        </w:rPr>
        <w:t xml:space="preserve">Nr. </w:t>
      </w:r>
      <w:fldSimple w:instr="HYPERLINK https://www.e-tar.lt/portal/legalAct.html?documentId=481058507e6b11e6b969d7ae07280e89">
        <w:r w:rsidRPr="00532B9F">
          <w:rPr>
            <w:rFonts w:ascii="Times New Roman" w:eastAsia="MS Mincho" w:hAnsi="Times New Roman"/>
            <w:sz w:val="20"/>
            <w:i/>
            <w:iCs/>
            <w:color w:val="0000FF" w:themeColor="hyperlink"/>
            <w:u w:val="single"/>
          </w:rPr>
          <w:t>D1-620</w:t>
        </w:r>
      </w:fldSimple>
      <w:r>
        <w:rPr>
          <w:rFonts w:ascii="Times New Roman" w:eastAsia="MS Mincho" w:hAnsi="Times New Roman"/>
          <w:sz w:val="20"/>
          <w:i/>
          <w:iCs/>
        </w:rPr>
        <w:t>,
2016-09-19,
paskelbta TAR 2016-09-19, i. k. 2016-23697            </w:t>
      </w:r>
    </w:p>
    <w:p/>
    <w:p>
      <w:pPr>
        <w:tabs>
          <w:tab w:val="left" w:pos="0"/>
        </w:tabs>
        <w:ind w:firstLine="567"/>
        <w:jc w:val="both"/>
        <w:rPr>
          <w:b/>
          <w:szCs w:val="24"/>
          <w:lang w:eastAsia="ar-SA"/>
        </w:rPr>
      </w:pPr>
      <w:r>
        <w:rPr>
          <w:rFonts w:eastAsia="Calibri"/>
          <w:szCs w:val="24"/>
        </w:rPr>
        <w:t>26</w:t>
      </w:r>
      <w:r>
        <w:rPr>
          <w:rFonts w:eastAsia="Calibri"/>
          <w:szCs w:val="24"/>
        </w:rPr>
        <w:t>. Patvirtintas Investicijų planas teikiamas Agentūrai Paraiškų atnaujinti (modernizuoti) daugiabutį namą teikimo, vertinimo ir atrankos tvarkos aprašo, patvirtinto Lietuvos Respublikos aplinkos ministro 2015 m. balandžio 1 d. įsakymu Nr. D1-267 „Dėl Paraiškų atnaujinti (modernizuoti) daugiabutį namą teikimo, vertinimo ir atrankos tvarkos aprašo patvirtinimo“, nustatyta tvarka.</w:t>
      </w:r>
      <w:r>
        <w:t xml:space="preserve"> </w:t>
      </w:r>
    </w:p>
    <w:p>
      <w:pPr>
        <w:pStyle w:val="PlainText"/>
        <w:rPr>
          <w:rFonts w:ascii="Times New Roman" w:eastAsia="MS Mincho" w:hAnsi="Times New Roman"/>
          <w:sz w:val="20"/>
          <w:i/>
          <w:iCs/>
        </w:rPr>
      </w:pPr>
      <w:r>
        <w:rPr>
          <w:rFonts w:ascii="Times New Roman" w:eastAsia="MS Mincho" w:hAnsi="Times New Roman"/>
          <w:sz w:val="20"/>
          <w:i/>
          <w:iCs/>
        </w:rPr>
        <w:t>Punkto pakeitimai:</w:t>
      </w:r>
    </w:p>
    <w:p>
      <w:pPr>
        <w:pStyle w:val="PlainText"/>
        <w:jc w:val="both"/>
        <w:rPr>
          <w:rFonts w:ascii="Times New Roman" w:eastAsia="MS Mincho" w:hAnsi="Times New Roman"/>
          <w:sz w:val="20"/>
          <w:i/>
          <w:iCs/>
        </w:rPr>
      </w:pPr>
      <w:r>
        <w:rPr>
          <w:rFonts w:ascii="Times New Roman" w:eastAsia="MS Mincho" w:hAnsi="Times New Roman"/>
          <w:sz w:val="20"/>
          <w:i/>
          <w:iCs/>
        </w:rPr>
        <w:t xml:space="preserve">Nr. </w:t>
      </w:r>
      <w:fldSimple w:instr="HYPERLINK https://www.e-tar.lt/portal/legalAct.html?documentId=481058507e6b11e6b969d7ae07280e89">
        <w:r w:rsidRPr="00532B9F">
          <w:rPr>
            <w:rFonts w:ascii="Times New Roman" w:eastAsia="MS Mincho" w:hAnsi="Times New Roman"/>
            <w:sz w:val="20"/>
            <w:i/>
            <w:iCs/>
            <w:color w:val="0000FF" w:themeColor="hyperlink"/>
            <w:u w:val="single"/>
          </w:rPr>
          <w:t>D1-620</w:t>
        </w:r>
      </w:fldSimple>
      <w:r>
        <w:rPr>
          <w:rFonts w:ascii="Times New Roman" w:eastAsia="MS Mincho" w:hAnsi="Times New Roman"/>
          <w:sz w:val="20"/>
          <w:i/>
          <w:iCs/>
        </w:rPr>
        <w:t>,
2016-09-19,
paskelbta TAR 2016-09-19, i. k. 2016-23697            </w:t>
      </w:r>
    </w:p>
    <w:p>
      <w:pPr>
        <w:pStyle w:val="PlainText"/>
        <w:jc w:val="both"/>
        <w:rPr>
          <w:rFonts w:ascii="Times New Roman" w:eastAsia="MS Mincho" w:hAnsi="Times New Roman"/>
          <w:sz w:val="20"/>
          <w:i/>
          <w:iCs/>
        </w:rPr>
      </w:pPr>
      <w:r>
        <w:rPr>
          <w:rFonts w:ascii="Times New Roman" w:eastAsia="MS Mincho" w:hAnsi="Times New Roman"/>
          <w:sz w:val="20"/>
          <w:i/>
          <w:iCs/>
        </w:rPr>
        <w:t xml:space="preserve">Nr. </w:t>
      </w:r>
      <w:fldSimple w:instr="HYPERLINK https://www.e-tar.lt/portal/legalAct.html?documentId=3ccee0e0a81511e78a4c904b1afa0332">
        <w:r w:rsidRPr="00532B9F">
          <w:rPr>
            <w:rFonts w:ascii="Times New Roman" w:eastAsia="MS Mincho" w:hAnsi="Times New Roman"/>
            <w:sz w:val="20"/>
            <w:i/>
            <w:iCs/>
            <w:color w:val="0000FF" w:themeColor="hyperlink"/>
            <w:u w:val="single"/>
          </w:rPr>
          <w:t>D1-805</w:t>
        </w:r>
      </w:fldSimple>
      <w:r>
        <w:rPr>
          <w:rFonts w:ascii="Times New Roman" w:eastAsia="MS Mincho" w:hAnsi="Times New Roman"/>
          <w:sz w:val="20"/>
          <w:i/>
          <w:iCs/>
        </w:rPr>
        <w:t>,
2017-10-02,
paskelbta TAR 2017-10-03, i. k. 2017-15563            </w:t>
      </w:r>
    </w:p>
    <w:p/>
    <w:p>
      <w:pPr>
        <w:pStyle w:val="PlainText"/>
        <w:ind w:firstLine="567"/>
        <w:jc w:val="both"/>
        <w:rPr>
          <w:rFonts w:ascii="Times New Roman" w:hAnsi="Times New Roman"/>
          <w:b/>
          <w:bCs/>
          <w:sz w:val="22"/>
        </w:rPr>
      </w:pPr>
      <w:r>
        <w:rPr>
          <w:rFonts w:ascii="Times New Roman" w:hAnsi="Times New Roman"/>
          <w:sz w:val="22"/>
        </w:rPr>
        <w:t>27</w:t>
      </w:r>
      <w:r>
        <w:rPr>
          <w:rFonts w:ascii="Times New Roman" w:hAnsi="Times New Roman"/>
          <w:sz w:val="22"/>
        </w:rPr>
        <w:t>.</w:t>
      </w:r>
      <w:r>
        <w:rPr>
          <w:rFonts w:ascii="Times New Roman" w:eastAsia="MS Mincho" w:hAnsi="Times New Roman"/>
          <w:sz w:val="20"/>
          <w:i/>
          <w:iCs/>
        </w:rPr>
        <w:t xml:space="preserve"> Neteko galios nuo 2017-11-01</w:t>
      </w:r>
    </w:p>
    <w:p>
      <w:pPr>
        <w:pStyle w:val="PlainText"/>
        <w:rPr>
          <w:rFonts w:ascii="Times New Roman" w:eastAsia="MS Mincho" w:hAnsi="Times New Roman"/>
          <w:sz w:val="20"/>
          <w:i/>
          <w:iCs/>
        </w:rPr>
      </w:pPr>
      <w:r>
        <w:rPr>
          <w:rFonts w:ascii="Times New Roman" w:eastAsia="MS Mincho" w:hAnsi="Times New Roman"/>
          <w:sz w:val="20"/>
          <w:i/>
          <w:iCs/>
        </w:rPr>
        <w:t>Punkto naikinimas:</w:t>
      </w:r>
    </w:p>
    <w:p>
      <w:pPr>
        <w:pStyle w:val="PlainText"/>
        <w:jc w:val="both"/>
        <w:rPr>
          <w:rFonts w:ascii="Times New Roman" w:eastAsia="MS Mincho" w:hAnsi="Times New Roman"/>
          <w:sz w:val="20"/>
          <w:i/>
          <w:iCs/>
        </w:rPr>
      </w:pPr>
      <w:r>
        <w:rPr>
          <w:rFonts w:ascii="Times New Roman" w:eastAsia="MS Mincho" w:hAnsi="Times New Roman"/>
          <w:sz w:val="20"/>
          <w:i/>
          <w:iCs/>
        </w:rPr>
        <w:t xml:space="preserve">Nr. </w:t>
      </w:r>
      <w:fldSimple w:instr="HYPERLINK https://www.e-tar.lt/portal/legalAct.html?documentId=3ccee0e0a81511e78a4c904b1afa0332">
        <w:r w:rsidRPr="00532B9F">
          <w:rPr>
            <w:rFonts w:ascii="Times New Roman" w:eastAsia="MS Mincho" w:hAnsi="Times New Roman"/>
            <w:sz w:val="20"/>
            <w:i/>
            <w:iCs/>
            <w:color w:val="0000FF" w:themeColor="hyperlink"/>
            <w:u w:val="single"/>
          </w:rPr>
          <w:t>D1-805</w:t>
        </w:r>
      </w:fldSimple>
      <w:r>
        <w:rPr>
          <w:rFonts w:ascii="Times New Roman" w:eastAsia="MS Mincho" w:hAnsi="Times New Roman"/>
          <w:sz w:val="20"/>
          <w:i/>
          <w:iCs/>
        </w:rPr>
        <w:t>,
2017-10-02,
paskelbta TAR 2017-10-03, i. k. 2017-15563        </w:t>
      </w:r>
    </w:p>
    <w:p/>
    <w:p>
      <w:pPr>
        <w:shd w:val="clear" w:color="000000" w:fill="auto"/>
        <w:ind w:firstLine="567"/>
        <w:jc w:val="both"/>
        <w:rPr>
          <w:szCs w:val="24"/>
          <w:lang w:eastAsia="ar-SA"/>
        </w:rPr>
      </w:pPr>
      <w:r>
        <w:rPr>
          <w:szCs w:val="24"/>
          <w:lang w:eastAsia="ar-SA"/>
        </w:rPr>
        <w:t>28</w:t>
      </w:r>
      <w:r>
        <w:rPr>
          <w:szCs w:val="24"/>
          <w:lang w:eastAsia="ar-SA"/>
        </w:rPr>
        <w:t>. Jeigu su Agentūra suderintas Investicijų planas keičiamas, tai jis pakartotinai derinamas su Agentūra Tvarkos aprašo 26 punkte nustatyta tvarka ir terminais.</w:t>
      </w:r>
    </w:p>
    <w:p>
      <w:pPr>
        <w:pStyle w:val="PlainText"/>
        <w:ind w:firstLine="567"/>
        <w:jc w:val="both"/>
        <w:rPr>
          <w:rFonts w:ascii="Times New Roman" w:hAnsi="Times New Roman"/>
          <w:b/>
          <w:bCs/>
          <w:sz w:val="22"/>
        </w:rPr>
      </w:pPr>
      <w:r>
        <w:rPr>
          <w:rFonts w:ascii="Times New Roman" w:hAnsi="Times New Roman"/>
          <w:sz w:val="22"/>
        </w:rPr>
        <w:t>29</w:t>
      </w:r>
      <w:r>
        <w:rPr>
          <w:rFonts w:ascii="Times New Roman" w:hAnsi="Times New Roman"/>
          <w:sz w:val="22"/>
        </w:rPr>
        <w:t>.</w:t>
      </w:r>
      <w:r>
        <w:rPr>
          <w:rFonts w:ascii="Times New Roman" w:eastAsia="MS Mincho" w:hAnsi="Times New Roman"/>
          <w:sz w:val="20"/>
          <w:i/>
          <w:iCs/>
        </w:rPr>
        <w:t xml:space="preserve"> Neteko galios nuo 2019-08-15</w:t>
      </w:r>
    </w:p>
    <w:p>
      <w:pPr>
        <w:pStyle w:val="PlainText"/>
        <w:rPr>
          <w:rFonts w:ascii="Times New Roman" w:eastAsia="MS Mincho" w:hAnsi="Times New Roman"/>
          <w:sz w:val="20"/>
          <w:i/>
          <w:iCs/>
        </w:rPr>
      </w:pPr>
      <w:r>
        <w:rPr>
          <w:rFonts w:ascii="Times New Roman" w:eastAsia="MS Mincho" w:hAnsi="Times New Roman"/>
          <w:sz w:val="20"/>
          <w:i/>
          <w:iCs/>
        </w:rPr>
        <w:t>Punkto naikinimas:</w:t>
      </w:r>
    </w:p>
    <w:p>
      <w:pPr>
        <w:pStyle w:val="PlainText"/>
        <w:jc w:val="both"/>
        <w:rPr>
          <w:rFonts w:ascii="Times New Roman" w:eastAsia="MS Mincho" w:hAnsi="Times New Roman"/>
          <w:sz w:val="20"/>
          <w:i/>
          <w:iCs/>
        </w:rPr>
      </w:pPr>
      <w:r>
        <w:rPr>
          <w:rFonts w:ascii="Times New Roman" w:eastAsia="MS Mincho" w:hAnsi="Times New Roman"/>
          <w:sz w:val="20"/>
          <w:i/>
          <w:iCs/>
        </w:rPr>
        <w:t xml:space="preserve">Nr. </w:t>
      </w:r>
      <w:fldSimple w:instr="HYPERLINK https://www.e-tar.lt/portal/legalAct.html?documentId=edc5df10be8011e9840ec0427c781bac">
        <w:r w:rsidRPr="00532B9F">
          <w:rPr>
            <w:rFonts w:ascii="Times New Roman" w:eastAsia="MS Mincho" w:hAnsi="Times New Roman"/>
            <w:sz w:val="20"/>
            <w:i/>
            <w:iCs/>
            <w:color w:val="0000FF" w:themeColor="hyperlink"/>
            <w:u w:val="single"/>
          </w:rPr>
          <w:t>D1-488</w:t>
        </w:r>
      </w:fldSimple>
      <w:r>
        <w:rPr>
          <w:rFonts w:ascii="Times New Roman" w:eastAsia="MS Mincho" w:hAnsi="Times New Roman"/>
          <w:sz w:val="20"/>
          <w:i/>
          <w:iCs/>
        </w:rPr>
        <w:t>,
2019-08-14,
paskelbta TAR 2019-08-14, i. k. 2019-13160        </w:t>
      </w:r>
    </w:p>
    <w:p>
      <w:pPr>
        <w:pStyle w:val="PlainText"/>
        <w:rPr>
          <w:rFonts w:ascii="Times New Roman" w:eastAsia="MS Mincho" w:hAnsi="Times New Roman"/>
          <w:sz w:val="20"/>
          <w:i/>
          <w:iCs/>
        </w:rPr>
      </w:pPr>
      <w:r>
        <w:rPr>
          <w:rFonts w:ascii="Times New Roman" w:eastAsia="MS Mincho" w:hAnsi="Times New Roman"/>
          <w:sz w:val="20"/>
          <w:i/>
          <w:iCs/>
        </w:rPr>
        <w:t>Papildyta punktu:</w:t>
      </w:r>
    </w:p>
    <w:p>
      <w:pPr>
        <w:pStyle w:val="PlainText"/>
        <w:jc w:val="both"/>
        <w:rPr>
          <w:rFonts w:ascii="Times New Roman" w:eastAsia="MS Mincho" w:hAnsi="Times New Roman"/>
          <w:sz w:val="20"/>
          <w:i/>
          <w:iCs/>
        </w:rPr>
      </w:pPr>
      <w:r>
        <w:rPr>
          <w:rFonts w:ascii="Times New Roman" w:eastAsia="MS Mincho" w:hAnsi="Times New Roman"/>
          <w:sz w:val="20"/>
          <w:i/>
          <w:iCs/>
        </w:rPr>
        <w:t xml:space="preserve">Nr. </w:t>
      </w:r>
      <w:fldSimple w:instr="HYPERLINK https://www.e-tar.lt/portal/legalAct.html?documentId=481058507e6b11e6b969d7ae07280e89">
        <w:r w:rsidRPr="00532B9F">
          <w:rPr>
            <w:rFonts w:ascii="Times New Roman" w:eastAsia="MS Mincho" w:hAnsi="Times New Roman"/>
            <w:sz w:val="20"/>
            <w:i/>
            <w:iCs/>
            <w:color w:val="0000FF" w:themeColor="hyperlink"/>
            <w:u w:val="single"/>
          </w:rPr>
          <w:t>D1-620</w:t>
        </w:r>
      </w:fldSimple>
      <w:r>
        <w:rPr>
          <w:rFonts w:ascii="Times New Roman" w:eastAsia="MS Mincho" w:hAnsi="Times New Roman"/>
          <w:sz w:val="20"/>
          <w:i/>
          <w:iCs/>
        </w:rPr>
        <w:t>,
2016-09-19,
paskelbta TAR 2016-09-19, i. k. 2016-23697        </w:t>
      </w:r>
    </w:p>
    <w:p/>
    <w:p>
      <w:pPr>
        <w:shd w:val="clear" w:color="000000" w:fill="auto"/>
        <w:jc w:val="center"/>
      </w:pPr>
      <w:r>
        <w:rPr>
          <w:szCs w:val="24"/>
          <w:lang w:eastAsia="ar-SA"/>
        </w:rPr>
        <w:t>_________________</w:t>
      </w:r>
    </w:p>
    <w:p>
      <w:pPr>
        <w:shd w:val="clear" w:color="000000" w:fill="auto"/>
        <w:tabs>
          <w:tab w:val="left" w:pos="5264"/>
        </w:tabs>
        <w:ind w:firstLine="5670"/>
        <w:sectPr>
          <w:pgSz w:w="11907" w:h="16840" w:code="9"/>
          <w:pgMar w:top="851" w:right="708" w:bottom="1134" w:left="1701" w:header="709" w:footer="709" w:gutter="0"/>
          <w:cols w:space="708"/>
          <w:docGrid w:linePitch="326"/>
        </w:sectPr>
      </w:pPr>
    </w:p>
    <w:p>
      <w:pPr>
        <w:shd w:val="clear" w:color="000000" w:fill="auto"/>
        <w:tabs>
          <w:tab w:val="left" w:pos="5264"/>
        </w:tabs>
        <w:ind w:firstLine="5670"/>
      </w:pPr>
      <w:r>
        <w:t>Daugiabučio namo atnaujinimo</w:t>
      </w:r>
    </w:p>
    <w:p>
      <w:pPr>
        <w:shd w:val="clear" w:color="000000" w:fill="auto"/>
        <w:tabs>
          <w:tab w:val="left" w:pos="5264"/>
        </w:tabs>
        <w:ind w:firstLine="5670"/>
      </w:pPr>
      <w:r>
        <w:t xml:space="preserve">(modernizavimo) investicijų plano </w:t>
      </w:r>
    </w:p>
    <w:p>
      <w:pPr>
        <w:shd w:val="clear" w:color="000000" w:fill="auto"/>
        <w:tabs>
          <w:tab w:val="left" w:pos="5264"/>
        </w:tabs>
        <w:ind w:firstLine="5670"/>
      </w:pPr>
      <w:r>
        <w:t>rengimo tvarkos aprašo</w:t>
      </w:r>
    </w:p>
    <w:p>
      <w:pPr>
        <w:shd w:val="clear" w:color="000000" w:fill="auto"/>
        <w:tabs>
          <w:tab w:val="left" w:pos="5264"/>
        </w:tabs>
        <w:ind w:firstLine="5670"/>
      </w:pPr>
      <w:r>
        <w:t>1</w:t>
      </w:r>
      <w:r>
        <w:t xml:space="preserve"> priedas</w:t>
      </w:r>
    </w:p>
    <w:p>
      <w:pPr>
        <w:shd w:val="clear" w:color="000000" w:fill="auto"/>
        <w:tabs>
          <w:tab w:val="left" w:pos="5264"/>
        </w:tabs>
        <w:ind w:firstLine="6000"/>
      </w:pPr>
    </w:p>
    <w:p>
      <w:pPr>
        <w:shd w:val="clear" w:color="000000" w:fill="auto"/>
        <w:tabs>
          <w:tab w:val="center" w:pos="4153"/>
          <w:tab w:val="right" w:pos="8306"/>
        </w:tabs>
        <w:jc w:val="center"/>
        <w:rPr>
          <w:b/>
          <w:bCs/>
        </w:rPr>
      </w:pPr>
      <w:r>
        <w:rPr>
          <w:b/>
        </w:rPr>
        <w:t xml:space="preserve">(Daugiabučio namo </w:t>
      </w:r>
      <w:r>
        <w:rPr>
          <w:b/>
          <w:bCs/>
        </w:rPr>
        <w:t>atnaujinimo (modernizavimo) investicijų plano forma)</w:t>
      </w:r>
    </w:p>
    <w:p>
      <w:pPr>
        <w:shd w:val="clear" w:color="000000" w:fill="auto"/>
        <w:tabs>
          <w:tab w:val="center" w:pos="4153"/>
          <w:tab w:val="right" w:pos="8306"/>
        </w:tabs>
        <w:jc w:val="center"/>
        <w:rPr>
          <w:b/>
          <w:bCs/>
        </w:rPr>
      </w:pPr>
    </w:p>
    <w:p>
      <w:pPr>
        <w:shd w:val="clear" w:color="000000" w:fill="auto"/>
        <w:jc w:val="center"/>
      </w:pPr>
    </w:p>
    <w:p>
      <w:pPr>
        <w:pBdr>
          <w:top w:val="single" w:sz="4" w:space="1" w:color="auto"/>
          <w:left w:val="single" w:sz="4" w:space="4" w:color="auto"/>
          <w:bottom w:val="single" w:sz="4" w:space="31" w:color="auto"/>
          <w:right w:val="single" w:sz="4" w:space="2" w:color="auto"/>
        </w:pBdr>
        <w:shd w:val="clear" w:color="000000" w:fill="auto"/>
        <w:jc w:val="center"/>
        <w:rPr>
          <w:bCs/>
        </w:rPr>
      </w:pPr>
      <w:r>
        <w:rPr>
          <w:bCs/>
        </w:rPr>
        <w:t>(</w:t>
      </w:r>
      <w:r>
        <w:rPr>
          <w:bCs/>
          <w:i/>
        </w:rPr>
        <w:t>antraštinis lapas</w:t>
      </w:r>
      <w:r>
        <w:rPr>
          <w:bCs/>
        </w:rPr>
        <w:t>)</w:t>
      </w:r>
    </w:p>
    <w:p>
      <w:pPr>
        <w:pBdr>
          <w:top w:val="single" w:sz="4" w:space="1" w:color="auto"/>
          <w:left w:val="single" w:sz="4" w:space="4" w:color="auto"/>
          <w:bottom w:val="single" w:sz="4" w:space="31" w:color="auto"/>
          <w:right w:val="single" w:sz="4" w:space="2" w:color="auto"/>
        </w:pBdr>
        <w:shd w:val="clear" w:color="000000" w:fill="auto"/>
      </w:pPr>
    </w:p>
    <w:p>
      <w:pPr>
        <w:pBdr>
          <w:top w:val="single" w:sz="4" w:space="1" w:color="auto"/>
          <w:left w:val="single" w:sz="4" w:space="4" w:color="auto"/>
          <w:bottom w:val="single" w:sz="4" w:space="31" w:color="auto"/>
          <w:right w:val="single" w:sz="4" w:space="2" w:color="auto"/>
        </w:pBdr>
        <w:shd w:val="clear" w:color="000000" w:fill="auto"/>
      </w:pPr>
    </w:p>
    <w:p>
      <w:pPr>
        <w:pBdr>
          <w:top w:val="single" w:sz="4" w:space="1" w:color="auto"/>
          <w:left w:val="single" w:sz="4" w:space="4" w:color="auto"/>
          <w:bottom w:val="single" w:sz="4" w:space="31" w:color="auto"/>
          <w:right w:val="single" w:sz="4" w:space="2" w:color="auto"/>
        </w:pBdr>
        <w:shd w:val="clear" w:color="000000" w:fill="auto"/>
        <w:jc w:val="center"/>
      </w:pPr>
      <w:r>
        <w:t>Investicijų plano rengėjas .......................................................................................................................</w:t>
      </w:r>
    </w:p>
    <w:p>
      <w:pPr>
        <w:pBdr>
          <w:top w:val="single" w:sz="4" w:space="1" w:color="auto"/>
          <w:left w:val="single" w:sz="4" w:space="4" w:color="auto"/>
          <w:bottom w:val="single" w:sz="4" w:space="31" w:color="auto"/>
          <w:right w:val="single" w:sz="4" w:space="2" w:color="auto"/>
        </w:pBdr>
        <w:shd w:val="clear" w:color="000000" w:fill="auto"/>
        <w:jc w:val="center"/>
        <w:rPr>
          <w:sz w:val="16"/>
          <w:szCs w:val="16"/>
        </w:rPr>
      </w:pPr>
      <w:r>
        <w:rPr>
          <w:sz w:val="16"/>
          <w:szCs w:val="16"/>
        </w:rPr>
        <w:t xml:space="preserve">(juridinio asmens pavadinimas,  kodas,  adresas, el. pašto adresas, telefono Nr., fizinio asmens vardas, pavardė, adresas, el. pašto adresas, tel. Nr., veiklos teisinis pagrindas)</w:t>
      </w:r>
    </w:p>
    <w:p>
      <w:pPr>
        <w:pBdr>
          <w:top w:val="single" w:sz="4" w:space="1" w:color="auto"/>
          <w:left w:val="single" w:sz="4" w:space="4" w:color="auto"/>
          <w:bottom w:val="single" w:sz="4" w:space="31" w:color="auto"/>
          <w:right w:val="single" w:sz="4" w:space="2" w:color="auto"/>
        </w:pBdr>
        <w:shd w:val="clear" w:color="000000" w:fill="auto"/>
        <w:rPr>
          <w:szCs w:val="24"/>
        </w:rPr>
      </w:pPr>
      <w:r>
        <w:t>.............................................................................................................................................................</w:t>
      </w:r>
    </w:p>
    <w:p>
      <w:pPr>
        <w:pBdr>
          <w:top w:val="single" w:sz="4" w:space="1" w:color="auto"/>
          <w:left w:val="single" w:sz="4" w:space="4" w:color="auto"/>
          <w:bottom w:val="single" w:sz="4" w:space="31" w:color="auto"/>
          <w:right w:val="single" w:sz="4" w:space="2" w:color="auto"/>
        </w:pBdr>
        <w:shd w:val="clear" w:color="000000" w:fill="auto"/>
        <w:jc w:val="center"/>
        <w:rPr>
          <w:b/>
          <w:bCs/>
        </w:rPr>
      </w:pPr>
    </w:p>
    <w:p>
      <w:pPr>
        <w:pBdr>
          <w:top w:val="single" w:sz="4" w:space="1" w:color="auto"/>
          <w:left w:val="single" w:sz="4" w:space="4" w:color="auto"/>
          <w:bottom w:val="single" w:sz="4" w:space="31" w:color="auto"/>
          <w:right w:val="single" w:sz="4" w:space="2" w:color="auto"/>
        </w:pBdr>
        <w:shd w:val="clear" w:color="000000" w:fill="auto"/>
        <w:jc w:val="center"/>
        <w:rPr>
          <w:b/>
          <w:bCs/>
        </w:rPr>
      </w:pPr>
    </w:p>
    <w:p>
      <w:pPr>
        <w:pBdr>
          <w:top w:val="single" w:sz="4" w:space="1" w:color="auto"/>
          <w:left w:val="single" w:sz="4" w:space="4" w:color="auto"/>
          <w:bottom w:val="single" w:sz="4" w:space="31" w:color="auto"/>
          <w:right w:val="single" w:sz="4" w:space="2" w:color="auto"/>
        </w:pBdr>
        <w:shd w:val="clear" w:color="000000" w:fill="auto"/>
        <w:jc w:val="center"/>
        <w:rPr>
          <w:b/>
          <w:bCs/>
        </w:rPr>
      </w:pPr>
    </w:p>
    <w:p>
      <w:pPr>
        <w:pBdr>
          <w:top w:val="single" w:sz="4" w:space="1" w:color="auto"/>
          <w:left w:val="single" w:sz="4" w:space="4" w:color="auto"/>
          <w:bottom w:val="single" w:sz="4" w:space="31" w:color="auto"/>
          <w:right w:val="single" w:sz="4" w:space="2" w:color="auto"/>
        </w:pBdr>
        <w:shd w:val="clear" w:color="000000" w:fill="auto"/>
        <w:jc w:val="center"/>
        <w:rPr>
          <w:rFonts w:eastAsia="Calibri"/>
          <w:szCs w:val="24"/>
        </w:rPr>
      </w:pPr>
      <w:r>
        <w:rPr>
          <w:rFonts w:eastAsia="Calibri"/>
          <w:szCs w:val="24"/>
        </w:rPr>
        <w:t>DAUGIABUČIO NAMO ....</w:t>
      </w:r>
      <w:r>
        <w:rPr>
          <w:rFonts w:eastAsia="Calibri"/>
          <w:sz w:val="16"/>
          <w:szCs w:val="16"/>
        </w:rPr>
        <w:t>(</w:t>
      </w:r>
      <w:r>
        <w:rPr>
          <w:rFonts w:eastAsia="Calibri"/>
          <w:i/>
          <w:sz w:val="16"/>
          <w:szCs w:val="16"/>
        </w:rPr>
        <w:t>nurodomas adresas)</w:t>
      </w:r>
      <w:r>
        <w:rPr>
          <w:rFonts w:eastAsia="Calibri"/>
          <w:szCs w:val="24"/>
        </w:rPr>
        <w:t>..................... ATNAUJINIMO (MODERNIZAVIMO) INVESTICIJŲ PLANAS</w:t>
      </w:r>
    </w:p>
    <w:p>
      <w:pPr>
        <w:pBdr>
          <w:top w:val="single" w:sz="4" w:space="1" w:color="auto"/>
          <w:left w:val="single" w:sz="4" w:space="4" w:color="auto"/>
          <w:bottom w:val="single" w:sz="4" w:space="31" w:color="auto"/>
          <w:right w:val="single" w:sz="4" w:space="2" w:color="auto"/>
        </w:pBdr>
        <w:shd w:val="clear" w:color="000000" w:fill="auto"/>
        <w:jc w:val="center"/>
        <w:rPr>
          <w:b/>
          <w:bCs/>
          <w:szCs w:val="24"/>
        </w:rPr>
      </w:pPr>
    </w:p>
    <w:p>
      <w:pPr>
        <w:pBdr>
          <w:top w:val="single" w:sz="4" w:space="1" w:color="auto"/>
          <w:left w:val="single" w:sz="4" w:space="4" w:color="auto"/>
          <w:bottom w:val="single" w:sz="4" w:space="31" w:color="auto"/>
          <w:right w:val="single" w:sz="4" w:space="2" w:color="auto"/>
        </w:pBdr>
        <w:shd w:val="clear" w:color="000000" w:fill="auto"/>
        <w:jc w:val="center"/>
      </w:pPr>
      <w:r>
        <w:t>(Data)</w:t>
      </w:r>
    </w:p>
    <w:p>
      <w:pPr>
        <w:pBdr>
          <w:top w:val="single" w:sz="4" w:space="1" w:color="auto"/>
          <w:left w:val="single" w:sz="4" w:space="4" w:color="auto"/>
          <w:bottom w:val="single" w:sz="4" w:space="31" w:color="auto"/>
          <w:right w:val="single" w:sz="4" w:space="2" w:color="auto"/>
        </w:pBdr>
        <w:shd w:val="clear" w:color="000000" w:fill="auto"/>
        <w:jc w:val="center"/>
        <w:rPr>
          <w:b/>
          <w:bCs/>
        </w:rPr>
      </w:pPr>
    </w:p>
    <w:p>
      <w:pPr>
        <w:pBdr>
          <w:top w:val="single" w:sz="4" w:space="1" w:color="auto"/>
          <w:left w:val="single" w:sz="4" w:space="4" w:color="auto"/>
          <w:bottom w:val="single" w:sz="4" w:space="31" w:color="auto"/>
          <w:right w:val="single" w:sz="4" w:space="2" w:color="auto"/>
        </w:pBdr>
        <w:shd w:val="clear" w:color="000000" w:fill="auto"/>
        <w:jc w:val="center"/>
        <w:rPr>
          <w:b/>
          <w:bCs/>
        </w:rPr>
      </w:pPr>
    </w:p>
    <w:p>
      <w:pPr>
        <w:pBdr>
          <w:top w:val="single" w:sz="4" w:space="1" w:color="auto"/>
          <w:left w:val="single" w:sz="4" w:space="4" w:color="auto"/>
          <w:bottom w:val="single" w:sz="4" w:space="31" w:color="auto"/>
          <w:right w:val="single" w:sz="4" w:space="2" w:color="auto"/>
        </w:pBdr>
        <w:shd w:val="clear" w:color="000000" w:fill="auto"/>
        <w:jc w:val="center"/>
        <w:rPr>
          <w:b/>
          <w:bCs/>
        </w:rPr>
      </w:pPr>
    </w:p>
    <w:p>
      <w:pPr>
        <w:pBdr>
          <w:top w:val="single" w:sz="4" w:space="1" w:color="auto"/>
          <w:left w:val="single" w:sz="4" w:space="4" w:color="auto"/>
          <w:bottom w:val="single" w:sz="4" w:space="31" w:color="auto"/>
          <w:right w:val="single" w:sz="4" w:space="2" w:color="auto"/>
        </w:pBdr>
        <w:shd w:val="clear" w:color="000000" w:fill="auto"/>
        <w:jc w:val="center"/>
        <w:rPr>
          <w:b/>
          <w:bCs/>
        </w:rPr>
      </w:pPr>
    </w:p>
    <w:p>
      <w:pPr>
        <w:pBdr>
          <w:top w:val="single" w:sz="4" w:space="1" w:color="auto"/>
          <w:left w:val="single" w:sz="4" w:space="4" w:color="auto"/>
          <w:bottom w:val="single" w:sz="4" w:space="31" w:color="auto"/>
          <w:right w:val="single" w:sz="4" w:space="2" w:color="auto"/>
        </w:pBdr>
        <w:shd w:val="clear" w:color="000000" w:fill="auto"/>
        <w:tabs>
          <w:tab w:val="left" w:pos="4290"/>
        </w:tabs>
        <w:ind w:firstLine="120"/>
        <w:jc w:val="right"/>
        <w:rPr>
          <w:b/>
          <w:bCs/>
        </w:rPr>
      </w:pPr>
    </w:p>
    <w:p>
      <w:pPr>
        <w:pBdr>
          <w:top w:val="single" w:sz="4" w:space="1" w:color="auto"/>
          <w:left w:val="single" w:sz="4" w:space="4" w:color="auto"/>
          <w:bottom w:val="single" w:sz="4" w:space="31" w:color="auto"/>
          <w:right w:val="single" w:sz="4" w:space="2" w:color="auto"/>
        </w:pBdr>
        <w:shd w:val="clear" w:color="000000" w:fill="auto"/>
        <w:ind w:firstLine="123"/>
        <w:jc w:val="right"/>
        <w:rPr>
          <w:sz w:val="16"/>
          <w:szCs w:val="16"/>
        </w:rPr>
      </w:pPr>
    </w:p>
    <w:p>
      <w:pPr>
        <w:pBdr>
          <w:top w:val="single" w:sz="4" w:space="1" w:color="auto"/>
          <w:left w:val="single" w:sz="4" w:space="4" w:color="auto"/>
          <w:bottom w:val="single" w:sz="4" w:space="31" w:color="auto"/>
          <w:right w:val="single" w:sz="4" w:space="2" w:color="auto"/>
        </w:pBdr>
        <w:shd w:val="clear" w:color="000000" w:fill="auto"/>
        <w:jc w:val="both"/>
        <w:rPr>
          <w:sz w:val="16"/>
          <w:szCs w:val="16"/>
        </w:rPr>
      </w:pPr>
    </w:p>
    <w:p>
      <w:pPr>
        <w:pBdr>
          <w:top w:val="single" w:sz="4" w:space="1" w:color="auto"/>
          <w:left w:val="single" w:sz="4" w:space="4" w:color="auto"/>
          <w:bottom w:val="single" w:sz="4" w:space="31" w:color="auto"/>
          <w:right w:val="single" w:sz="4" w:space="2" w:color="auto"/>
        </w:pBdr>
        <w:shd w:val="clear" w:color="000000" w:fill="auto"/>
        <w:ind w:firstLine="3119"/>
        <w:rPr>
          <w:szCs w:val="24"/>
        </w:rPr>
      </w:pPr>
      <w:r>
        <w:t>Investicijų plano rengimo vadovas: ................................................</w:t>
      </w:r>
    </w:p>
    <w:p>
      <w:pPr>
        <w:pBdr>
          <w:top w:val="single" w:sz="4" w:space="1" w:color="auto"/>
          <w:left w:val="single" w:sz="4" w:space="4" w:color="auto"/>
          <w:bottom w:val="single" w:sz="4" w:space="31" w:color="auto"/>
          <w:right w:val="single" w:sz="4" w:space="2" w:color="auto"/>
        </w:pBdr>
        <w:shd w:val="clear" w:color="000000" w:fill="auto"/>
        <w:ind w:firstLine="3828"/>
        <w:rPr>
          <w:sz w:val="16"/>
          <w:szCs w:val="16"/>
        </w:rPr>
      </w:pPr>
      <w:r>
        <w:rPr>
          <w:sz w:val="16"/>
          <w:szCs w:val="16"/>
        </w:rPr>
        <w:t xml:space="preserve">(parašas, vardas, pavardė, kvalifikacijos atestato arba diplomo išdavimo data, numeris)   </w:t>
      </w:r>
    </w:p>
    <w:p>
      <w:pPr>
        <w:pBdr>
          <w:top w:val="single" w:sz="4" w:space="1" w:color="auto"/>
          <w:left w:val="single" w:sz="4" w:space="4" w:color="auto"/>
          <w:bottom w:val="single" w:sz="4" w:space="31" w:color="auto"/>
          <w:right w:val="single" w:sz="4" w:space="2" w:color="auto"/>
        </w:pBdr>
        <w:shd w:val="clear" w:color="000000" w:fill="auto"/>
        <w:jc w:val="both"/>
        <w:rPr>
          <w:szCs w:val="24"/>
        </w:rPr>
      </w:pPr>
    </w:p>
    <w:p>
      <w:pPr>
        <w:pBdr>
          <w:top w:val="single" w:sz="4" w:space="1" w:color="auto"/>
          <w:left w:val="single" w:sz="4" w:space="4" w:color="auto"/>
          <w:bottom w:val="single" w:sz="4" w:space="31" w:color="auto"/>
          <w:right w:val="single" w:sz="4" w:space="2" w:color="auto"/>
        </w:pBdr>
        <w:shd w:val="clear" w:color="000000" w:fill="auto"/>
        <w:ind w:firstLine="3119"/>
      </w:pPr>
      <w:r>
        <w:t>Rengėjai: .........................................................................................</w:t>
      </w:r>
    </w:p>
    <w:p>
      <w:pPr>
        <w:pBdr>
          <w:top w:val="single" w:sz="4" w:space="1" w:color="auto"/>
          <w:left w:val="single" w:sz="4" w:space="4" w:color="auto"/>
          <w:bottom w:val="single" w:sz="4" w:space="31" w:color="auto"/>
          <w:right w:val="single" w:sz="4" w:space="2" w:color="auto"/>
        </w:pBdr>
        <w:shd w:val="clear" w:color="000000" w:fill="auto"/>
        <w:ind w:firstLine="3119"/>
      </w:pPr>
      <w:r>
        <w:t>..........................................................................................................</w:t>
      </w:r>
    </w:p>
    <w:p>
      <w:pPr>
        <w:pBdr>
          <w:top w:val="single" w:sz="4" w:space="1" w:color="auto"/>
          <w:left w:val="single" w:sz="4" w:space="4" w:color="auto"/>
          <w:bottom w:val="single" w:sz="4" w:space="31" w:color="auto"/>
          <w:right w:val="single" w:sz="4" w:space="2" w:color="auto"/>
        </w:pBdr>
        <w:shd w:val="clear" w:color="000000" w:fill="auto"/>
        <w:ind w:firstLine="3828"/>
        <w:rPr>
          <w:sz w:val="16"/>
          <w:szCs w:val="16"/>
        </w:rPr>
      </w:pPr>
      <w:r>
        <w:rPr>
          <w:sz w:val="16"/>
          <w:szCs w:val="16"/>
        </w:rPr>
        <w:t xml:space="preserve">(parašas, vardas, pavardė, kvalifikacijos atestato arba diplomo išdavimo data, numeris)    </w:t>
      </w:r>
    </w:p>
    <w:p>
      <w:pPr>
        <w:pBdr>
          <w:top w:val="single" w:sz="4" w:space="1" w:color="auto"/>
          <w:left w:val="single" w:sz="4" w:space="4" w:color="auto"/>
          <w:bottom w:val="single" w:sz="4" w:space="31" w:color="auto"/>
          <w:right w:val="single" w:sz="4" w:space="2" w:color="auto"/>
        </w:pBdr>
        <w:shd w:val="clear" w:color="000000" w:fill="auto"/>
        <w:ind w:firstLine="3119"/>
        <w:rPr>
          <w:szCs w:val="24"/>
        </w:rPr>
      </w:pPr>
      <w:r>
        <w:t>Užsakovas: ......................................................................................</w:t>
      </w:r>
    </w:p>
    <w:p>
      <w:pPr>
        <w:pBdr>
          <w:top w:val="single" w:sz="4" w:space="1" w:color="auto"/>
          <w:left w:val="single" w:sz="4" w:space="4" w:color="auto"/>
          <w:bottom w:val="single" w:sz="4" w:space="31" w:color="auto"/>
          <w:right w:val="single" w:sz="4" w:space="2" w:color="auto"/>
        </w:pBdr>
        <w:shd w:val="clear" w:color="000000" w:fill="auto"/>
        <w:ind w:firstLine="3119"/>
      </w:pPr>
      <w:r>
        <w:t>..........................................................................................................</w:t>
      </w:r>
    </w:p>
    <w:p>
      <w:pPr>
        <w:pBdr>
          <w:top w:val="single" w:sz="4" w:space="1" w:color="auto"/>
          <w:left w:val="single" w:sz="4" w:space="4" w:color="auto"/>
          <w:bottom w:val="single" w:sz="4" w:space="31" w:color="auto"/>
          <w:right w:val="single" w:sz="4" w:space="2" w:color="auto"/>
        </w:pBdr>
        <w:shd w:val="clear" w:color="000000" w:fill="auto"/>
        <w:ind w:firstLine="4223"/>
        <w:rPr>
          <w:sz w:val="16"/>
          <w:szCs w:val="16"/>
        </w:rPr>
      </w:pPr>
      <w:r>
        <w:rPr>
          <w:sz w:val="16"/>
          <w:szCs w:val="16"/>
        </w:rPr>
        <w:t xml:space="preserve">(juridinio asmens pavadinimas, vadovo vardas, pavardė, parašas, fizinio asmens </w:t>
      </w:r>
    </w:p>
    <w:p>
      <w:pPr>
        <w:pBdr>
          <w:top w:val="single" w:sz="4" w:space="1" w:color="auto"/>
          <w:left w:val="single" w:sz="4" w:space="4" w:color="auto"/>
          <w:bottom w:val="single" w:sz="4" w:space="31" w:color="auto"/>
          <w:right w:val="single" w:sz="4" w:space="2" w:color="auto"/>
        </w:pBdr>
        <w:shd w:val="clear" w:color="000000" w:fill="auto"/>
        <w:ind w:firstLine="4223"/>
        <w:rPr>
          <w:sz w:val="16"/>
          <w:szCs w:val="16"/>
        </w:rPr>
      </w:pPr>
      <w:r>
        <w:rPr>
          <w:sz w:val="16"/>
          <w:szCs w:val="16"/>
        </w:rPr>
        <w:t xml:space="preserve">veikimo pagrindas, vardas, pavardė, parašas, data) </w:t>
      </w:r>
    </w:p>
    <w:p>
      <w:pPr>
        <w:pBdr>
          <w:top w:val="single" w:sz="4" w:space="1" w:color="auto"/>
          <w:left w:val="single" w:sz="4" w:space="4" w:color="auto"/>
          <w:bottom w:val="single" w:sz="4" w:space="31" w:color="auto"/>
          <w:right w:val="single" w:sz="4" w:space="2" w:color="auto"/>
        </w:pBdr>
        <w:shd w:val="clear" w:color="000000" w:fill="auto"/>
        <w:ind w:firstLine="82"/>
        <w:jc w:val="right"/>
        <w:rPr>
          <w:sz w:val="16"/>
          <w:szCs w:val="16"/>
        </w:rPr>
      </w:pPr>
    </w:p>
    <w:p>
      <w:pPr>
        <w:pBdr>
          <w:top w:val="single" w:sz="4" w:space="1" w:color="auto"/>
          <w:left w:val="single" w:sz="4" w:space="4" w:color="auto"/>
          <w:bottom w:val="single" w:sz="4" w:space="31" w:color="auto"/>
          <w:right w:val="single" w:sz="4" w:space="2" w:color="auto"/>
        </w:pBdr>
        <w:shd w:val="clear" w:color="000000" w:fill="auto"/>
        <w:tabs>
          <w:tab w:val="left" w:pos="3283"/>
        </w:tabs>
        <w:ind w:firstLine="3119"/>
        <w:jc w:val="both"/>
        <w:rPr>
          <w:i/>
        </w:rPr>
      </w:pPr>
      <w:r>
        <w:t>Namo bendrojo naudojimo objektų valdytojas (</w:t>
      </w:r>
      <w:r>
        <w:rPr>
          <w:i/>
        </w:rPr>
        <w:t xml:space="preserve">jei užsakovas kitas </w:t>
      </w:r>
    </w:p>
    <w:p>
      <w:pPr>
        <w:pBdr>
          <w:top w:val="single" w:sz="4" w:space="1" w:color="auto"/>
          <w:left w:val="single" w:sz="4" w:space="4" w:color="auto"/>
          <w:bottom w:val="single" w:sz="4" w:space="31" w:color="auto"/>
          <w:right w:val="single" w:sz="4" w:space="2" w:color="auto"/>
        </w:pBdr>
        <w:shd w:val="clear" w:color="000000" w:fill="auto"/>
        <w:tabs>
          <w:tab w:val="left" w:pos="3283"/>
        </w:tabs>
        <w:ind w:firstLine="3119"/>
        <w:jc w:val="both"/>
      </w:pPr>
      <w:r>
        <w:rPr>
          <w:i/>
        </w:rPr>
        <w:t>asmuo)</w:t>
      </w:r>
      <w:r>
        <w:t>: ...........................................................................................</w:t>
      </w:r>
    </w:p>
    <w:p>
      <w:pPr>
        <w:pBdr>
          <w:top w:val="single" w:sz="4" w:space="1" w:color="auto"/>
          <w:left w:val="single" w:sz="4" w:space="4" w:color="auto"/>
          <w:bottom w:val="single" w:sz="4" w:space="31" w:color="auto"/>
          <w:right w:val="single" w:sz="4" w:space="2" w:color="auto"/>
        </w:pBdr>
        <w:shd w:val="clear" w:color="000000" w:fill="auto"/>
        <w:tabs>
          <w:tab w:val="left" w:pos="3283"/>
        </w:tabs>
        <w:ind w:firstLine="3119"/>
        <w:jc w:val="both"/>
        <w:rPr>
          <w:szCs w:val="24"/>
        </w:rPr>
      </w:pPr>
      <w:r>
        <w:t>.........................................................................................................</w:t>
      </w:r>
    </w:p>
    <w:p>
      <w:pPr>
        <w:pBdr>
          <w:top w:val="single" w:sz="4" w:space="1" w:color="auto"/>
          <w:left w:val="single" w:sz="4" w:space="4" w:color="auto"/>
          <w:bottom w:val="single" w:sz="4" w:space="31" w:color="auto"/>
          <w:right w:val="single" w:sz="4" w:space="2" w:color="auto"/>
        </w:pBdr>
        <w:shd w:val="clear" w:color="000000" w:fill="auto"/>
        <w:ind w:firstLine="3169"/>
        <w:rPr>
          <w:bCs/>
        </w:rPr>
      </w:pPr>
      <w:r>
        <w:rPr>
          <w:bCs/>
        </w:rPr>
        <w:t>Suderinta:</w:t>
      </w:r>
    </w:p>
    <w:p>
      <w:pPr>
        <w:pBdr>
          <w:top w:val="single" w:sz="4" w:space="1" w:color="auto"/>
          <w:left w:val="single" w:sz="4" w:space="4" w:color="auto"/>
          <w:bottom w:val="single" w:sz="4" w:space="31" w:color="auto"/>
          <w:right w:val="single" w:sz="4" w:space="2" w:color="auto"/>
        </w:pBdr>
        <w:shd w:val="clear" w:color="000000" w:fill="auto"/>
        <w:ind w:firstLine="3169"/>
        <w:rPr>
          <w:bCs/>
        </w:rPr>
      </w:pPr>
    </w:p>
    <w:p>
      <w:pPr>
        <w:pBdr>
          <w:top w:val="single" w:sz="4" w:space="1" w:color="auto"/>
          <w:left w:val="single" w:sz="4" w:space="4" w:color="auto"/>
          <w:bottom w:val="single" w:sz="4" w:space="31" w:color="auto"/>
          <w:right w:val="single" w:sz="4" w:space="2" w:color="auto"/>
        </w:pBdr>
        <w:shd w:val="clear" w:color="000000" w:fill="auto"/>
        <w:tabs>
          <w:tab w:val="left" w:pos="3168"/>
          <w:tab w:val="right" w:pos="9637"/>
        </w:tabs>
        <w:ind w:firstLine="3168"/>
      </w:pPr>
      <w:r>
        <w:t xml:space="preserve">Būsto energijos taupymo agentūra  </w:t>
      </w:r>
    </w:p>
    <w:p>
      <w:pPr>
        <w:pBdr>
          <w:top w:val="single" w:sz="4" w:space="1" w:color="auto"/>
          <w:left w:val="single" w:sz="4" w:space="4" w:color="auto"/>
          <w:bottom w:val="single" w:sz="4" w:space="31" w:color="auto"/>
          <w:right w:val="single" w:sz="4" w:space="2" w:color="auto"/>
        </w:pBdr>
        <w:shd w:val="clear" w:color="000000" w:fill="auto"/>
        <w:ind w:firstLine="3119"/>
      </w:pPr>
      <w:r>
        <w:t>..........................................................................................................</w:t>
      </w:r>
    </w:p>
    <w:p>
      <w:pPr>
        <w:pBdr>
          <w:top w:val="single" w:sz="4" w:space="1" w:color="auto"/>
          <w:left w:val="single" w:sz="4" w:space="4" w:color="auto"/>
          <w:bottom w:val="single" w:sz="4" w:space="31" w:color="auto"/>
          <w:right w:val="single" w:sz="4" w:space="2" w:color="auto"/>
        </w:pBdr>
        <w:shd w:val="clear" w:color="000000" w:fill="auto"/>
        <w:ind w:firstLine="4962"/>
        <w:rPr>
          <w:sz w:val="16"/>
          <w:szCs w:val="16"/>
        </w:rPr>
      </w:pPr>
      <w:r>
        <w:rPr>
          <w:sz w:val="16"/>
          <w:szCs w:val="16"/>
        </w:rPr>
        <w:t xml:space="preserve">(atstovo pareigos, </w:t>
      </w:r>
      <w:r>
        <w:rPr>
          <w:iCs/>
          <w:sz w:val="16"/>
          <w:szCs w:val="16"/>
        </w:rPr>
        <w:t>parašas,</w:t>
      </w:r>
      <w:r>
        <w:rPr>
          <w:i/>
          <w:iCs/>
          <w:sz w:val="16"/>
          <w:szCs w:val="16"/>
        </w:rPr>
        <w:t xml:space="preserve"> var</w:t>
      </w:r>
      <w:r>
        <w:rPr>
          <w:sz w:val="16"/>
          <w:szCs w:val="16"/>
        </w:rPr>
        <w:t>das, pavardė,</w:t>
      </w:r>
      <w:r>
        <w:rPr>
          <w:iCs/>
          <w:sz w:val="16"/>
          <w:szCs w:val="16"/>
        </w:rPr>
        <w:t xml:space="preserve"> </w:t>
      </w:r>
      <w:r>
        <w:rPr>
          <w:sz w:val="16"/>
          <w:szCs w:val="16"/>
        </w:rPr>
        <w:t xml:space="preserve">data)   </w:t>
      </w:r>
    </w:p>
    <w:p>
      <w:pPr>
        <w:pBdr>
          <w:top w:val="single" w:sz="4" w:space="1" w:color="auto"/>
          <w:left w:val="single" w:sz="4" w:space="4" w:color="auto"/>
          <w:bottom w:val="single" w:sz="4" w:space="31" w:color="auto"/>
          <w:right w:val="single" w:sz="4" w:space="2" w:color="auto"/>
        </w:pBdr>
        <w:shd w:val="clear" w:color="000000" w:fill="auto"/>
        <w:jc w:val="right"/>
        <w:rPr>
          <w:sz w:val="16"/>
          <w:szCs w:val="16"/>
        </w:rPr>
      </w:pPr>
    </w:p>
    <w:p>
      <w:pPr>
        <w:shd w:val="clear" w:color="000000" w:fill="auto"/>
      </w:pPr>
    </w:p>
    <w:p>
      <w:pPr>
        <w:shd w:val="clear" w:color="000000" w:fill="auto"/>
      </w:pPr>
      <w:r>
        <w:br w:type="page"/>
      </w:r>
    </w:p>
    <w:p>
      <w:pPr>
        <w:shd w:val="clear" w:color="000000" w:fill="auto"/>
        <w:rPr>
          <w:b/>
          <w:szCs w:val="24"/>
        </w:rPr>
      </w:pPr>
      <w:r>
        <w:rPr>
          <w:b/>
        </w:rPr>
        <w:t>I</w:t>
      </w:r>
      <w:r>
        <w:rPr>
          <w:b/>
        </w:rPr>
        <w:t xml:space="preserve">. </w:t>
      </w:r>
      <w:r>
        <w:rPr>
          <w:b/>
        </w:rPr>
        <w:t>AIŠKINAMASIS RAŠTAS</w:t>
      </w:r>
    </w:p>
    <w:p>
      <w:pPr>
        <w:shd w:val="clear" w:color="000000" w:fill="auto"/>
      </w:pPr>
      <w:r>
        <w:t>(</w:t>
      </w:r>
      <w:r>
        <w:rPr>
          <w:i/>
        </w:rPr>
        <w:t>rengiamas pagal Tvarkos aprašo 9 punktą</w:t>
      </w:r>
      <w:r>
        <w:t>)</w:t>
      </w:r>
    </w:p>
    <w:p>
      <w:pPr>
        <w:shd w:val="clear" w:color="000000" w:fill="auto"/>
        <w:rPr>
          <w:b/>
        </w:rPr>
      </w:pPr>
      <w:r>
        <w:rPr>
          <w:b/>
        </w:rPr>
        <w:t>II</w:t>
      </w:r>
      <w:r>
        <w:rPr>
          <w:b/>
        </w:rPr>
        <w:t xml:space="preserve">. </w:t>
      </w:r>
      <w:r>
        <w:rPr>
          <w:b/>
        </w:rPr>
        <w:t>TECHNINIAI EKONOMINIAI SPRENDINIAI IR RODIKLIAI</w:t>
      </w:r>
    </w:p>
    <w:p>
      <w:pPr>
        <w:shd w:val="clear" w:color="000000" w:fill="auto"/>
        <w:rPr>
          <w:b/>
        </w:rPr>
      </w:pPr>
      <w:r>
        <w:rPr>
          <w:b/>
        </w:rPr>
        <w:t>1</w:t>
      </w:r>
      <w:r>
        <w:rPr>
          <w:b/>
        </w:rPr>
        <w:t>. Daugiabučio gyvenamojo namo (toliau – namas) tipo apibūdinimas</w:t>
      </w:r>
    </w:p>
    <w:p>
      <w:pPr>
        <w:shd w:val="clear" w:color="000000" w:fill="auto"/>
      </w:pPr>
      <w:r>
        <w:t>1.1</w:t>
      </w:r>
      <w:r>
        <w:t>. namo konstrukcija (</w:t>
      </w:r>
      <w:r>
        <w:rPr>
          <w:i/>
        </w:rPr>
        <w:t>pagal sienų medžiagas</w:t>
      </w:r>
      <w:r>
        <w:t>).................................................................</w:t>
      </w:r>
    </w:p>
    <w:p>
      <w:pPr>
        <w:shd w:val="clear" w:color="000000" w:fill="auto"/>
      </w:pPr>
      <w:r>
        <w:t>1.2</w:t>
      </w:r>
      <w:r>
        <w:t>. aukštų skaičius _______________________________________________________________;</w:t>
      </w:r>
    </w:p>
    <w:p>
      <w:pPr>
        <w:shd w:val="clear" w:color="000000" w:fill="auto"/>
      </w:pPr>
      <w:r>
        <w:t>1.3</w:t>
      </w:r>
      <w:r>
        <w:t>. statybos metai, tipinio namo projekto, pagal kurį pastatytas namas, serijos Nr. (</w:t>
      </w:r>
      <w:r>
        <w:rPr>
          <w:i/>
        </w:rPr>
        <w:t>jeigu yra</w:t>
      </w:r>
      <w:r>
        <w:t>) ______________________________________________________________________________;</w:t>
      </w:r>
    </w:p>
    <w:p>
      <w:pPr>
        <w:shd w:val="clear" w:color="000000" w:fill="auto"/>
      </w:pPr>
      <w:r>
        <w:t>1.4</w:t>
      </w:r>
      <w:r>
        <w:t xml:space="preserve">. namo energinio naudingumo klasė, sertifikato Nr., išdavimo data_______________________ </w:t>
      </w:r>
    </w:p>
    <w:p>
      <w:pPr>
        <w:shd w:val="clear" w:color="000000" w:fill="auto"/>
      </w:pPr>
      <w:r>
        <w:t>1.5</w:t>
      </w:r>
      <w:r>
        <w:t>. namui priskirto žemės sklypo plotas (m</w:t>
      </w:r>
      <w:r>
        <w:rPr>
          <w:vertAlign w:val="superscript"/>
        </w:rPr>
        <w:t>2</w:t>
      </w:r>
      <w:r>
        <w:t>) __________________________________________;</w:t>
      </w:r>
    </w:p>
    <w:p>
      <w:pPr>
        <w:shd w:val="clear" w:color="000000" w:fill="auto"/>
      </w:pPr>
      <w:r>
        <w:t>1.6</w:t>
      </w:r>
      <w:r>
        <w:t xml:space="preserve"> atkuriamoji namo vertė, tūkst. Eur (</w:t>
      </w:r>
      <w:r>
        <w:rPr>
          <w:i/>
        </w:rPr>
        <w:t>pagal Nekilnojamojo turto registro duomenis</w:t>
      </w:r>
      <w:r>
        <w:t xml:space="preserve">) ________;   </w:t>
      </w:r>
    </w:p>
    <w:p>
      <w:pPr>
        <w:shd w:val="clear" w:color="000000" w:fill="auto"/>
      </w:pPr>
    </w:p>
    <w:p>
      <w:pPr>
        <w:shd w:val="clear" w:color="000000" w:fill="auto"/>
        <w:jc w:val="center"/>
      </w:pPr>
      <w:r>
        <w:rPr>
          <w:b/>
        </w:rPr>
        <w:t>2</w:t>
      </w:r>
      <w:r>
        <w:rPr>
          <w:b/>
        </w:rPr>
        <w:t>. Pagrindiniai namo techniniai rodikliai</w:t>
      </w:r>
    </w:p>
    <w:p>
      <w:pPr>
        <w:shd w:val="clear" w:color="000000" w:fill="auto"/>
        <w:ind w:firstLine="8080"/>
      </w:pPr>
      <w:r>
        <w:t>1</w:t>
      </w:r>
      <w:r>
        <w:t xml:space="preserve"> lentelė</w:t>
      </w:r>
    </w:p>
    <w:tbl>
      <w:tblPr>
        <w:tblW w:w="0" w:type="auto"/>
        <w:tblInd w:w="77" w:type="dxa"/>
        <w:tblLayout w:type="fixed"/>
        <w:tblLook w:val="04A0" w:firstRow="1" w:lastRow="0" w:firstColumn="1" w:lastColumn="0" w:noHBand="0" w:noVBand="1"/>
      </w:tblPr>
      <w:tblGrid>
        <w:gridCol w:w="948"/>
        <w:gridCol w:w="3878"/>
        <w:gridCol w:w="1024"/>
        <w:gridCol w:w="1127"/>
        <w:gridCol w:w="2701"/>
        <w:gridCol w:w="9"/>
      </w:tblGrid>
      <w:tr>
        <w:trPr>
          <w:gridAfter w:val="1"/>
          <w:wAfter w:w="9" w:type="dxa"/>
        </w:trPr>
        <w:tc>
          <w:tcPr>
            <w:tcW w:w="948" w:type="dxa"/>
            <w:tcBorders>
              <w:top w:val="single" w:sz="4" w:space="0" w:color="000000"/>
              <w:left w:val="single" w:sz="4" w:space="0" w:color="000000"/>
              <w:bottom w:val="single" w:sz="4" w:space="0" w:color="000000"/>
              <w:right w:val="nil"/>
            </w:tcBorders>
            <w:vAlign w:val="center"/>
            <w:hideMark/>
          </w:tcPr>
          <w:p>
            <w:pPr>
              <w:shd w:val="clear" w:color="000000" w:fill="auto"/>
              <w:suppressAutoHyphens/>
              <w:snapToGrid w:val="0"/>
              <w:jc w:val="center"/>
              <w:rPr>
                <w:rFonts w:cs="Calibri"/>
                <w:sz w:val="20"/>
                <w:lang w:eastAsia="ar-SA"/>
              </w:rPr>
            </w:pPr>
            <w:r>
              <w:rPr>
                <w:sz w:val="20"/>
              </w:rPr>
              <w:t>Eilės Nr.</w:t>
            </w:r>
          </w:p>
        </w:tc>
        <w:tc>
          <w:tcPr>
            <w:tcW w:w="3878" w:type="dxa"/>
            <w:tcBorders>
              <w:top w:val="single" w:sz="4" w:space="0" w:color="000000"/>
              <w:left w:val="single" w:sz="4" w:space="0" w:color="000000"/>
              <w:bottom w:val="single" w:sz="4" w:space="0" w:color="000000"/>
              <w:right w:val="nil"/>
            </w:tcBorders>
            <w:vAlign w:val="center"/>
            <w:hideMark/>
          </w:tcPr>
          <w:p>
            <w:pPr>
              <w:shd w:val="clear" w:color="000000" w:fill="auto"/>
              <w:suppressAutoHyphens/>
              <w:snapToGrid w:val="0"/>
              <w:jc w:val="center"/>
              <w:rPr>
                <w:rFonts w:cs="Calibri"/>
                <w:sz w:val="20"/>
                <w:lang w:eastAsia="ar-SA"/>
              </w:rPr>
            </w:pPr>
            <w:r>
              <w:rPr>
                <w:sz w:val="20"/>
              </w:rPr>
              <w:t>Pavadinimas</w:t>
            </w:r>
          </w:p>
        </w:tc>
        <w:tc>
          <w:tcPr>
            <w:tcW w:w="1024" w:type="dxa"/>
            <w:tcBorders>
              <w:top w:val="single" w:sz="4" w:space="0" w:color="000000"/>
              <w:left w:val="single" w:sz="4" w:space="0" w:color="000000"/>
              <w:bottom w:val="single" w:sz="4" w:space="0" w:color="000000"/>
              <w:right w:val="nil"/>
            </w:tcBorders>
            <w:vAlign w:val="center"/>
            <w:hideMark/>
          </w:tcPr>
          <w:p>
            <w:pPr>
              <w:shd w:val="clear" w:color="000000" w:fill="auto"/>
              <w:suppressAutoHyphens/>
              <w:snapToGrid w:val="0"/>
              <w:jc w:val="center"/>
              <w:rPr>
                <w:rFonts w:cs="Calibri"/>
                <w:sz w:val="20"/>
                <w:lang w:eastAsia="ar-SA"/>
              </w:rPr>
            </w:pPr>
            <w:r>
              <w:rPr>
                <w:sz w:val="20"/>
              </w:rPr>
              <w:t>Mato vnt.</w:t>
            </w:r>
          </w:p>
        </w:tc>
        <w:tc>
          <w:tcPr>
            <w:tcW w:w="1127" w:type="dxa"/>
            <w:tcBorders>
              <w:top w:val="single" w:sz="4" w:space="0" w:color="000000"/>
              <w:left w:val="single" w:sz="4" w:space="0" w:color="000000"/>
              <w:bottom w:val="single" w:sz="4" w:space="0" w:color="000000"/>
              <w:right w:val="nil"/>
            </w:tcBorders>
            <w:vAlign w:val="center"/>
            <w:hideMark/>
          </w:tcPr>
          <w:p>
            <w:pPr>
              <w:shd w:val="clear" w:color="000000" w:fill="auto"/>
              <w:suppressAutoHyphens/>
              <w:snapToGrid w:val="0"/>
              <w:jc w:val="center"/>
              <w:rPr>
                <w:rFonts w:cs="Calibri"/>
                <w:sz w:val="20"/>
                <w:lang w:eastAsia="ar-SA"/>
              </w:rPr>
            </w:pPr>
            <w:r>
              <w:rPr>
                <w:sz w:val="20"/>
              </w:rPr>
              <w:t>Kiekis, vnt.</w:t>
            </w:r>
          </w:p>
        </w:tc>
        <w:tc>
          <w:tcPr>
            <w:tcW w:w="2701" w:type="dxa"/>
            <w:tcBorders>
              <w:top w:val="single" w:sz="4" w:space="0" w:color="000000"/>
              <w:left w:val="single" w:sz="4" w:space="0" w:color="000000"/>
              <w:bottom w:val="single" w:sz="4" w:space="0" w:color="000000"/>
              <w:right w:val="single" w:sz="4" w:space="0" w:color="000000"/>
            </w:tcBorders>
            <w:vAlign w:val="center"/>
          </w:tcPr>
          <w:p>
            <w:pPr>
              <w:shd w:val="clear" w:color="000000" w:fill="auto"/>
              <w:snapToGrid w:val="0"/>
              <w:jc w:val="center"/>
              <w:rPr>
                <w:rFonts w:cs="Calibri"/>
                <w:sz w:val="20"/>
                <w:lang w:eastAsia="ar-SA"/>
              </w:rPr>
            </w:pPr>
            <w:r>
              <w:rPr>
                <w:sz w:val="20"/>
              </w:rPr>
              <w:t>Pastabos</w:t>
            </w:r>
          </w:p>
          <w:p>
            <w:pPr>
              <w:shd w:val="clear" w:color="000000" w:fill="auto"/>
              <w:suppressAutoHyphens/>
              <w:snapToGrid w:val="0"/>
              <w:jc w:val="center"/>
              <w:rPr>
                <w:rFonts w:cs="Calibri"/>
                <w:sz w:val="20"/>
                <w:lang w:eastAsia="ar-SA"/>
              </w:rPr>
            </w:pPr>
          </w:p>
        </w:tc>
      </w:tr>
      <w:tr>
        <w:trPr>
          <w:gridAfter w:val="1"/>
          <w:wAfter w:w="9" w:type="dxa"/>
        </w:trPr>
        <w:tc>
          <w:tcPr>
            <w:tcW w:w="948" w:type="dxa"/>
            <w:tcBorders>
              <w:top w:val="nil"/>
              <w:left w:val="single" w:sz="4" w:space="0" w:color="000000"/>
              <w:bottom w:val="single" w:sz="4" w:space="0" w:color="000000"/>
              <w:right w:val="nil"/>
            </w:tcBorders>
            <w:hideMark/>
          </w:tcPr>
          <w:p>
            <w:pPr>
              <w:shd w:val="clear" w:color="000000" w:fill="auto"/>
              <w:suppressAutoHyphens/>
              <w:snapToGrid w:val="0"/>
              <w:jc w:val="center"/>
              <w:rPr>
                <w:rFonts w:cs="Calibri"/>
                <w:sz w:val="20"/>
                <w:lang w:eastAsia="ar-SA"/>
              </w:rPr>
            </w:pPr>
            <w:r>
              <w:rPr>
                <w:sz w:val="20"/>
              </w:rPr>
              <w:t>1</w:t>
            </w:r>
          </w:p>
        </w:tc>
        <w:tc>
          <w:tcPr>
            <w:tcW w:w="3878" w:type="dxa"/>
            <w:tcBorders>
              <w:top w:val="nil"/>
              <w:left w:val="single" w:sz="4" w:space="0" w:color="000000"/>
              <w:bottom w:val="single" w:sz="4" w:space="0" w:color="000000"/>
              <w:right w:val="nil"/>
            </w:tcBorders>
            <w:hideMark/>
          </w:tcPr>
          <w:p>
            <w:pPr>
              <w:shd w:val="clear" w:color="000000" w:fill="auto"/>
              <w:suppressAutoHyphens/>
              <w:snapToGrid w:val="0"/>
              <w:jc w:val="center"/>
              <w:rPr>
                <w:rFonts w:cs="Calibri"/>
                <w:sz w:val="20"/>
                <w:lang w:eastAsia="ar-SA"/>
              </w:rPr>
            </w:pPr>
            <w:r>
              <w:rPr>
                <w:sz w:val="20"/>
              </w:rPr>
              <w:t>2</w:t>
            </w:r>
          </w:p>
        </w:tc>
        <w:tc>
          <w:tcPr>
            <w:tcW w:w="1024" w:type="dxa"/>
            <w:tcBorders>
              <w:top w:val="nil"/>
              <w:left w:val="single" w:sz="4" w:space="0" w:color="000000"/>
              <w:bottom w:val="single" w:sz="4" w:space="0" w:color="000000"/>
              <w:right w:val="nil"/>
            </w:tcBorders>
            <w:hideMark/>
          </w:tcPr>
          <w:p>
            <w:pPr>
              <w:shd w:val="clear" w:color="000000" w:fill="auto"/>
              <w:suppressAutoHyphens/>
              <w:snapToGrid w:val="0"/>
              <w:jc w:val="center"/>
              <w:rPr>
                <w:rFonts w:cs="Calibri"/>
                <w:sz w:val="20"/>
                <w:lang w:eastAsia="ar-SA"/>
              </w:rPr>
            </w:pPr>
            <w:r>
              <w:rPr>
                <w:sz w:val="20"/>
              </w:rPr>
              <w:t>3</w:t>
            </w:r>
          </w:p>
        </w:tc>
        <w:tc>
          <w:tcPr>
            <w:tcW w:w="1127" w:type="dxa"/>
            <w:tcBorders>
              <w:top w:val="nil"/>
              <w:left w:val="single" w:sz="4" w:space="0" w:color="000000"/>
              <w:bottom w:val="single" w:sz="4" w:space="0" w:color="000000"/>
              <w:right w:val="nil"/>
            </w:tcBorders>
            <w:hideMark/>
          </w:tcPr>
          <w:p>
            <w:pPr>
              <w:shd w:val="clear" w:color="000000" w:fill="auto"/>
              <w:suppressAutoHyphens/>
              <w:snapToGrid w:val="0"/>
              <w:jc w:val="center"/>
              <w:rPr>
                <w:rFonts w:cs="Calibri"/>
                <w:sz w:val="20"/>
                <w:lang w:eastAsia="ar-SA"/>
              </w:rPr>
            </w:pPr>
            <w:r>
              <w:rPr>
                <w:sz w:val="20"/>
              </w:rPr>
              <w:t>4</w:t>
            </w:r>
          </w:p>
        </w:tc>
        <w:tc>
          <w:tcPr>
            <w:tcW w:w="2701" w:type="dxa"/>
            <w:tcBorders>
              <w:top w:val="nil"/>
              <w:left w:val="single" w:sz="4" w:space="0" w:color="000000"/>
              <w:bottom w:val="single" w:sz="4" w:space="0" w:color="000000"/>
              <w:right w:val="single" w:sz="4" w:space="0" w:color="000000"/>
            </w:tcBorders>
            <w:hideMark/>
          </w:tcPr>
          <w:p>
            <w:pPr>
              <w:shd w:val="clear" w:color="000000" w:fill="auto"/>
              <w:suppressAutoHyphens/>
              <w:snapToGrid w:val="0"/>
              <w:jc w:val="center"/>
              <w:rPr>
                <w:rFonts w:cs="Calibri"/>
                <w:sz w:val="20"/>
                <w:lang w:eastAsia="ar-SA"/>
              </w:rPr>
            </w:pPr>
            <w:r>
              <w:rPr>
                <w:sz w:val="20"/>
              </w:rPr>
              <w:t>5</w:t>
            </w:r>
          </w:p>
        </w:tc>
      </w:tr>
      <w:tr>
        <w:tc>
          <w:tcPr>
            <w:tcW w:w="948" w:type="dxa"/>
            <w:tcBorders>
              <w:top w:val="nil"/>
              <w:left w:val="single" w:sz="4" w:space="0" w:color="000000"/>
              <w:bottom w:val="single" w:sz="4" w:space="0" w:color="000000"/>
              <w:right w:val="nil"/>
            </w:tcBorders>
            <w:shd w:val="clear" w:color="auto" w:fill="A6A6A6"/>
            <w:vAlign w:val="center"/>
            <w:hideMark/>
          </w:tcPr>
          <w:p>
            <w:pPr>
              <w:shd w:val="clear" w:color="000000" w:fill="auto"/>
              <w:suppressAutoHyphens/>
              <w:snapToGrid w:val="0"/>
              <w:rPr>
                <w:rFonts w:cs="Calibri"/>
                <w:sz w:val="20"/>
                <w:lang w:eastAsia="ar-SA"/>
              </w:rPr>
            </w:pPr>
            <w:r>
              <w:rPr>
                <w:sz w:val="20"/>
              </w:rPr>
              <w:t>2.1.</w:t>
            </w:r>
          </w:p>
        </w:tc>
        <w:tc>
          <w:tcPr>
            <w:tcW w:w="8739" w:type="dxa"/>
            <w:gridSpan w:val="5"/>
            <w:tcBorders>
              <w:top w:val="nil"/>
              <w:left w:val="single" w:sz="4" w:space="0" w:color="000000"/>
              <w:bottom w:val="single" w:sz="4" w:space="0" w:color="000000"/>
              <w:right w:val="single" w:sz="4" w:space="0" w:color="000000"/>
            </w:tcBorders>
            <w:shd w:val="clear" w:color="auto" w:fill="A6A6A6"/>
            <w:vAlign w:val="center"/>
            <w:hideMark/>
          </w:tcPr>
          <w:p>
            <w:pPr>
              <w:shd w:val="clear" w:color="000000" w:fill="auto"/>
              <w:suppressAutoHyphens/>
              <w:snapToGrid w:val="0"/>
              <w:rPr>
                <w:rFonts w:cs="Calibri"/>
                <w:b/>
                <w:sz w:val="20"/>
                <w:lang w:eastAsia="ar-SA"/>
              </w:rPr>
            </w:pPr>
            <w:r>
              <w:rPr>
                <w:b/>
                <w:sz w:val="20"/>
              </w:rPr>
              <w:t>bendrieji rodikliai</w:t>
            </w:r>
          </w:p>
        </w:tc>
      </w:tr>
      <w:tr>
        <w:trPr>
          <w:gridAfter w:val="1"/>
          <w:wAfter w:w="9" w:type="dxa"/>
        </w:trPr>
        <w:tc>
          <w:tcPr>
            <w:tcW w:w="948" w:type="dxa"/>
            <w:tcBorders>
              <w:top w:val="nil"/>
              <w:left w:val="single" w:sz="4" w:space="0" w:color="000000"/>
              <w:bottom w:val="single" w:sz="4" w:space="0" w:color="000000"/>
              <w:right w:val="nil"/>
            </w:tcBorders>
            <w:vAlign w:val="center"/>
            <w:hideMark/>
          </w:tcPr>
          <w:p>
            <w:pPr>
              <w:shd w:val="clear" w:color="000000" w:fill="auto"/>
              <w:suppressAutoHyphens/>
              <w:snapToGrid w:val="0"/>
              <w:rPr>
                <w:rFonts w:cs="Calibri"/>
                <w:sz w:val="20"/>
                <w:lang w:eastAsia="ar-SA"/>
              </w:rPr>
            </w:pPr>
            <w:r>
              <w:rPr>
                <w:sz w:val="20"/>
              </w:rPr>
              <w:t>2.1.1.</w:t>
            </w:r>
          </w:p>
        </w:tc>
        <w:tc>
          <w:tcPr>
            <w:tcW w:w="3878" w:type="dxa"/>
            <w:tcBorders>
              <w:top w:val="nil"/>
              <w:left w:val="single" w:sz="4" w:space="0" w:color="000000"/>
              <w:bottom w:val="single" w:sz="4" w:space="0" w:color="000000"/>
              <w:right w:val="nil"/>
            </w:tcBorders>
            <w:vAlign w:val="center"/>
            <w:hideMark/>
          </w:tcPr>
          <w:p>
            <w:pPr>
              <w:shd w:val="clear" w:color="000000" w:fill="auto"/>
              <w:suppressAutoHyphens/>
              <w:snapToGrid w:val="0"/>
              <w:rPr>
                <w:rFonts w:cs="Calibri"/>
                <w:sz w:val="20"/>
                <w:lang w:eastAsia="ar-SA"/>
              </w:rPr>
            </w:pPr>
            <w:r>
              <w:rPr>
                <w:sz w:val="20"/>
              </w:rPr>
              <w:t>butų skaičius</w:t>
            </w:r>
          </w:p>
        </w:tc>
        <w:tc>
          <w:tcPr>
            <w:tcW w:w="1024" w:type="dxa"/>
            <w:tcBorders>
              <w:top w:val="nil"/>
              <w:left w:val="single" w:sz="4" w:space="0" w:color="000000"/>
              <w:bottom w:val="single" w:sz="4" w:space="0" w:color="000000"/>
              <w:right w:val="nil"/>
            </w:tcBorders>
            <w:vAlign w:val="center"/>
            <w:hideMark/>
          </w:tcPr>
          <w:p>
            <w:pPr>
              <w:shd w:val="clear" w:color="000000" w:fill="auto"/>
              <w:suppressAutoHyphens/>
              <w:snapToGrid w:val="0"/>
              <w:jc w:val="center"/>
              <w:rPr>
                <w:rFonts w:cs="Calibri"/>
                <w:sz w:val="20"/>
                <w:lang w:eastAsia="ar-SA"/>
              </w:rPr>
            </w:pPr>
            <w:r>
              <w:rPr>
                <w:sz w:val="20"/>
              </w:rPr>
              <w:t>vnt.</w:t>
            </w:r>
          </w:p>
        </w:tc>
        <w:tc>
          <w:tcPr>
            <w:tcW w:w="1127" w:type="dxa"/>
            <w:tcBorders>
              <w:top w:val="nil"/>
              <w:left w:val="single" w:sz="4" w:space="0" w:color="000000"/>
              <w:bottom w:val="single" w:sz="4" w:space="0" w:color="000000"/>
              <w:right w:val="nil"/>
            </w:tcBorders>
            <w:vAlign w:val="center"/>
          </w:tcPr>
          <w:p>
            <w:pPr>
              <w:shd w:val="clear" w:color="000000" w:fill="auto"/>
              <w:suppressAutoHyphens/>
              <w:snapToGrid w:val="0"/>
              <w:rPr>
                <w:rFonts w:cs="Calibri"/>
                <w:sz w:val="20"/>
                <w:lang w:eastAsia="ar-SA"/>
              </w:rPr>
            </w:pPr>
          </w:p>
        </w:tc>
        <w:tc>
          <w:tcPr>
            <w:tcW w:w="2701" w:type="dxa"/>
            <w:tcBorders>
              <w:top w:val="nil"/>
              <w:left w:val="single" w:sz="4" w:space="0" w:color="000000"/>
              <w:bottom w:val="single" w:sz="4" w:space="0" w:color="000000"/>
              <w:right w:val="single" w:sz="4" w:space="0" w:color="000000"/>
            </w:tcBorders>
            <w:vAlign w:val="center"/>
          </w:tcPr>
          <w:p>
            <w:pPr>
              <w:shd w:val="clear" w:color="000000" w:fill="auto"/>
              <w:suppressAutoHyphens/>
              <w:snapToGrid w:val="0"/>
              <w:rPr>
                <w:rFonts w:cs="Calibri"/>
                <w:sz w:val="20"/>
                <w:lang w:eastAsia="ar-SA"/>
              </w:rPr>
            </w:pPr>
          </w:p>
        </w:tc>
      </w:tr>
      <w:tr>
        <w:trPr>
          <w:gridAfter w:val="1"/>
          <w:wAfter w:w="9" w:type="dxa"/>
        </w:trPr>
        <w:tc>
          <w:tcPr>
            <w:tcW w:w="948" w:type="dxa"/>
            <w:tcBorders>
              <w:top w:val="nil"/>
              <w:left w:val="single" w:sz="4" w:space="0" w:color="000000"/>
              <w:bottom w:val="single" w:sz="4" w:space="0" w:color="000000"/>
              <w:right w:val="nil"/>
            </w:tcBorders>
            <w:vAlign w:val="center"/>
            <w:hideMark/>
          </w:tcPr>
          <w:p>
            <w:pPr>
              <w:shd w:val="clear" w:color="000000" w:fill="auto"/>
              <w:suppressAutoHyphens/>
              <w:snapToGrid w:val="0"/>
              <w:rPr>
                <w:rFonts w:cs="Calibri"/>
                <w:sz w:val="20"/>
                <w:lang w:eastAsia="ar-SA"/>
              </w:rPr>
            </w:pPr>
            <w:r>
              <w:rPr>
                <w:sz w:val="20"/>
              </w:rPr>
              <w:t>2.1.2.</w:t>
            </w:r>
          </w:p>
        </w:tc>
        <w:tc>
          <w:tcPr>
            <w:tcW w:w="3878" w:type="dxa"/>
            <w:tcBorders>
              <w:top w:val="nil"/>
              <w:left w:val="single" w:sz="4" w:space="0" w:color="000000"/>
              <w:bottom w:val="single" w:sz="4" w:space="0" w:color="000000"/>
              <w:right w:val="nil"/>
            </w:tcBorders>
            <w:vAlign w:val="center"/>
            <w:hideMark/>
          </w:tcPr>
          <w:p>
            <w:pPr>
              <w:shd w:val="clear" w:color="000000" w:fill="auto"/>
              <w:suppressAutoHyphens/>
              <w:snapToGrid w:val="0"/>
              <w:rPr>
                <w:rFonts w:cs="Calibri"/>
                <w:sz w:val="20"/>
                <w:lang w:eastAsia="ar-SA"/>
              </w:rPr>
            </w:pPr>
            <w:r>
              <w:rPr>
                <w:sz w:val="20"/>
              </w:rPr>
              <w:t>butų naudingasis plotas</w:t>
            </w:r>
          </w:p>
        </w:tc>
        <w:tc>
          <w:tcPr>
            <w:tcW w:w="1024" w:type="dxa"/>
            <w:tcBorders>
              <w:top w:val="nil"/>
              <w:left w:val="single" w:sz="4" w:space="0" w:color="000000"/>
              <w:bottom w:val="single" w:sz="4" w:space="0" w:color="000000"/>
              <w:right w:val="nil"/>
            </w:tcBorders>
            <w:vAlign w:val="center"/>
            <w:hideMark/>
          </w:tcPr>
          <w:p>
            <w:pPr>
              <w:shd w:val="clear" w:color="000000" w:fill="auto"/>
              <w:suppressAutoHyphens/>
              <w:snapToGrid w:val="0"/>
              <w:jc w:val="center"/>
              <w:rPr>
                <w:rFonts w:cs="Calibri"/>
                <w:sz w:val="20"/>
                <w:vertAlign w:val="superscript"/>
                <w:lang w:eastAsia="ar-SA"/>
              </w:rPr>
            </w:pPr>
            <w:r>
              <w:rPr>
                <w:sz w:val="20"/>
              </w:rPr>
              <w:t>m</w:t>
            </w:r>
            <w:r>
              <w:rPr>
                <w:sz w:val="20"/>
                <w:vertAlign w:val="superscript"/>
              </w:rPr>
              <w:t>2</w:t>
            </w:r>
          </w:p>
        </w:tc>
        <w:tc>
          <w:tcPr>
            <w:tcW w:w="1127" w:type="dxa"/>
            <w:tcBorders>
              <w:top w:val="nil"/>
              <w:left w:val="single" w:sz="4" w:space="0" w:color="000000"/>
              <w:bottom w:val="single" w:sz="4" w:space="0" w:color="000000"/>
              <w:right w:val="nil"/>
            </w:tcBorders>
            <w:vAlign w:val="center"/>
          </w:tcPr>
          <w:p>
            <w:pPr>
              <w:shd w:val="clear" w:color="000000" w:fill="auto"/>
              <w:suppressAutoHyphens/>
              <w:snapToGrid w:val="0"/>
              <w:rPr>
                <w:rFonts w:cs="Calibri"/>
                <w:sz w:val="20"/>
                <w:lang w:eastAsia="ar-SA"/>
              </w:rPr>
            </w:pPr>
          </w:p>
        </w:tc>
        <w:tc>
          <w:tcPr>
            <w:tcW w:w="2701" w:type="dxa"/>
            <w:tcBorders>
              <w:top w:val="nil"/>
              <w:left w:val="single" w:sz="4" w:space="0" w:color="000000"/>
              <w:bottom w:val="single" w:sz="4" w:space="0" w:color="000000"/>
              <w:right w:val="single" w:sz="4" w:space="0" w:color="000000"/>
            </w:tcBorders>
            <w:vAlign w:val="center"/>
          </w:tcPr>
          <w:p>
            <w:pPr>
              <w:shd w:val="clear" w:color="000000" w:fill="auto"/>
              <w:suppressAutoHyphens/>
              <w:snapToGrid w:val="0"/>
              <w:rPr>
                <w:rFonts w:cs="Calibri"/>
                <w:sz w:val="20"/>
                <w:lang w:eastAsia="ar-SA"/>
              </w:rPr>
            </w:pPr>
          </w:p>
        </w:tc>
      </w:tr>
      <w:tr>
        <w:trPr>
          <w:gridAfter w:val="1"/>
          <w:wAfter w:w="9" w:type="dxa"/>
          <w:trHeight w:val="357"/>
        </w:trPr>
        <w:tc>
          <w:tcPr>
            <w:tcW w:w="948" w:type="dxa"/>
            <w:tcBorders>
              <w:top w:val="nil"/>
              <w:left w:val="single" w:sz="4" w:space="0" w:color="000000"/>
              <w:bottom w:val="single" w:sz="4" w:space="0" w:color="000000"/>
              <w:right w:val="nil"/>
            </w:tcBorders>
            <w:vAlign w:val="center"/>
            <w:hideMark/>
          </w:tcPr>
          <w:p>
            <w:pPr>
              <w:shd w:val="clear" w:color="000000" w:fill="auto"/>
              <w:suppressAutoHyphens/>
              <w:snapToGrid w:val="0"/>
              <w:rPr>
                <w:rFonts w:cs="Calibri"/>
                <w:sz w:val="20"/>
                <w:lang w:eastAsia="ar-SA"/>
              </w:rPr>
            </w:pPr>
            <w:r>
              <w:rPr>
                <w:sz w:val="20"/>
              </w:rPr>
              <w:t>2.1.3.</w:t>
            </w:r>
          </w:p>
        </w:tc>
        <w:tc>
          <w:tcPr>
            <w:tcW w:w="3878" w:type="dxa"/>
            <w:tcBorders>
              <w:top w:val="nil"/>
              <w:left w:val="single" w:sz="4" w:space="0" w:color="000000"/>
              <w:bottom w:val="single" w:sz="4" w:space="0" w:color="000000"/>
              <w:right w:val="nil"/>
            </w:tcBorders>
            <w:vAlign w:val="center"/>
            <w:hideMark/>
          </w:tcPr>
          <w:p>
            <w:pPr>
              <w:shd w:val="clear" w:color="000000" w:fill="auto"/>
              <w:suppressAutoHyphens/>
              <w:snapToGrid w:val="0"/>
              <w:rPr>
                <w:rFonts w:cs="Calibri"/>
                <w:sz w:val="20"/>
                <w:lang w:eastAsia="ar-SA"/>
              </w:rPr>
            </w:pPr>
            <w:r>
              <w:rPr>
                <w:sz w:val="20"/>
              </w:rPr>
              <w:t>namo negyvenamosios paskirties patalpų skaičius*</w:t>
            </w:r>
          </w:p>
        </w:tc>
        <w:tc>
          <w:tcPr>
            <w:tcW w:w="1024" w:type="dxa"/>
            <w:tcBorders>
              <w:top w:val="nil"/>
              <w:left w:val="single" w:sz="4" w:space="0" w:color="000000"/>
              <w:bottom w:val="single" w:sz="4" w:space="0" w:color="000000"/>
              <w:right w:val="nil"/>
            </w:tcBorders>
            <w:vAlign w:val="center"/>
            <w:hideMark/>
          </w:tcPr>
          <w:p>
            <w:pPr>
              <w:shd w:val="clear" w:color="000000" w:fill="auto"/>
              <w:suppressAutoHyphens/>
              <w:snapToGrid w:val="0"/>
              <w:jc w:val="center"/>
              <w:rPr>
                <w:rFonts w:cs="Calibri"/>
                <w:sz w:val="20"/>
                <w:lang w:eastAsia="ar-SA"/>
              </w:rPr>
            </w:pPr>
            <w:r>
              <w:rPr>
                <w:sz w:val="20"/>
              </w:rPr>
              <w:t>vnt.</w:t>
            </w:r>
          </w:p>
        </w:tc>
        <w:tc>
          <w:tcPr>
            <w:tcW w:w="1127" w:type="dxa"/>
            <w:tcBorders>
              <w:top w:val="nil"/>
              <w:left w:val="single" w:sz="4" w:space="0" w:color="000000"/>
              <w:bottom w:val="single" w:sz="4" w:space="0" w:color="000000"/>
              <w:right w:val="nil"/>
            </w:tcBorders>
            <w:vAlign w:val="center"/>
          </w:tcPr>
          <w:p>
            <w:pPr>
              <w:shd w:val="clear" w:color="000000" w:fill="auto"/>
              <w:suppressAutoHyphens/>
              <w:snapToGrid w:val="0"/>
              <w:rPr>
                <w:rFonts w:cs="Calibri"/>
                <w:sz w:val="20"/>
                <w:lang w:eastAsia="ar-SA"/>
              </w:rPr>
            </w:pPr>
          </w:p>
        </w:tc>
        <w:tc>
          <w:tcPr>
            <w:tcW w:w="2701" w:type="dxa"/>
            <w:tcBorders>
              <w:top w:val="nil"/>
              <w:left w:val="single" w:sz="4" w:space="0" w:color="000000"/>
              <w:bottom w:val="single" w:sz="4" w:space="0" w:color="000000"/>
              <w:right w:val="single" w:sz="4" w:space="0" w:color="000000"/>
            </w:tcBorders>
            <w:vAlign w:val="center"/>
          </w:tcPr>
          <w:p>
            <w:pPr>
              <w:shd w:val="clear" w:color="000000" w:fill="auto"/>
              <w:suppressAutoHyphens/>
              <w:snapToGrid w:val="0"/>
              <w:rPr>
                <w:rFonts w:cs="Calibri"/>
                <w:sz w:val="20"/>
                <w:lang w:eastAsia="ar-SA"/>
              </w:rPr>
            </w:pPr>
          </w:p>
        </w:tc>
      </w:tr>
      <w:tr>
        <w:trPr>
          <w:gridAfter w:val="1"/>
          <w:wAfter w:w="9" w:type="dxa"/>
        </w:trPr>
        <w:tc>
          <w:tcPr>
            <w:tcW w:w="948" w:type="dxa"/>
            <w:tcBorders>
              <w:top w:val="nil"/>
              <w:left w:val="single" w:sz="4" w:space="0" w:color="000000"/>
              <w:bottom w:val="single" w:sz="4" w:space="0" w:color="000000"/>
              <w:right w:val="nil"/>
            </w:tcBorders>
            <w:vAlign w:val="center"/>
            <w:hideMark/>
          </w:tcPr>
          <w:p>
            <w:pPr>
              <w:shd w:val="clear" w:color="000000" w:fill="auto"/>
              <w:suppressAutoHyphens/>
              <w:snapToGrid w:val="0"/>
              <w:rPr>
                <w:rFonts w:cs="Calibri"/>
                <w:sz w:val="20"/>
                <w:lang w:eastAsia="ar-SA"/>
              </w:rPr>
            </w:pPr>
            <w:r>
              <w:rPr>
                <w:sz w:val="20"/>
              </w:rPr>
              <w:t>2.1.4.</w:t>
            </w:r>
          </w:p>
        </w:tc>
        <w:tc>
          <w:tcPr>
            <w:tcW w:w="3878" w:type="dxa"/>
            <w:tcBorders>
              <w:top w:val="nil"/>
              <w:left w:val="single" w:sz="4" w:space="0" w:color="000000"/>
              <w:bottom w:val="single" w:sz="4" w:space="0" w:color="000000"/>
              <w:right w:val="nil"/>
            </w:tcBorders>
            <w:vAlign w:val="center"/>
            <w:hideMark/>
          </w:tcPr>
          <w:p>
            <w:pPr>
              <w:shd w:val="clear" w:color="000000" w:fill="auto"/>
              <w:suppressAutoHyphens/>
              <w:snapToGrid w:val="0"/>
              <w:rPr>
                <w:rFonts w:cs="Calibri"/>
                <w:sz w:val="20"/>
                <w:lang w:eastAsia="ar-SA"/>
              </w:rPr>
            </w:pPr>
            <w:r>
              <w:rPr>
                <w:sz w:val="20"/>
              </w:rPr>
              <w:t>namo negyvenamosios paskirties patalpų bendrasis plotas</w:t>
            </w:r>
          </w:p>
        </w:tc>
        <w:tc>
          <w:tcPr>
            <w:tcW w:w="1024" w:type="dxa"/>
            <w:tcBorders>
              <w:top w:val="nil"/>
              <w:left w:val="single" w:sz="4" w:space="0" w:color="000000"/>
              <w:bottom w:val="single" w:sz="4" w:space="0" w:color="000000"/>
              <w:right w:val="nil"/>
            </w:tcBorders>
            <w:vAlign w:val="center"/>
            <w:hideMark/>
          </w:tcPr>
          <w:p>
            <w:pPr>
              <w:shd w:val="clear" w:color="000000" w:fill="auto"/>
              <w:suppressAutoHyphens/>
              <w:snapToGrid w:val="0"/>
              <w:jc w:val="center"/>
              <w:rPr>
                <w:rFonts w:cs="Calibri"/>
                <w:sz w:val="20"/>
                <w:vertAlign w:val="superscript"/>
                <w:lang w:eastAsia="ar-SA"/>
              </w:rPr>
            </w:pPr>
            <w:r>
              <w:rPr>
                <w:sz w:val="20"/>
              </w:rPr>
              <w:t>m</w:t>
            </w:r>
            <w:r>
              <w:rPr>
                <w:sz w:val="20"/>
                <w:vertAlign w:val="superscript"/>
              </w:rPr>
              <w:t>2</w:t>
            </w:r>
          </w:p>
        </w:tc>
        <w:tc>
          <w:tcPr>
            <w:tcW w:w="1127" w:type="dxa"/>
            <w:tcBorders>
              <w:top w:val="nil"/>
              <w:left w:val="single" w:sz="4" w:space="0" w:color="000000"/>
              <w:bottom w:val="single" w:sz="4" w:space="0" w:color="000000"/>
              <w:right w:val="nil"/>
            </w:tcBorders>
            <w:vAlign w:val="center"/>
          </w:tcPr>
          <w:p>
            <w:pPr>
              <w:shd w:val="clear" w:color="000000" w:fill="auto"/>
              <w:suppressAutoHyphens/>
              <w:snapToGrid w:val="0"/>
              <w:rPr>
                <w:rFonts w:cs="Calibri"/>
                <w:sz w:val="20"/>
                <w:lang w:eastAsia="ar-SA"/>
              </w:rPr>
            </w:pPr>
          </w:p>
        </w:tc>
        <w:tc>
          <w:tcPr>
            <w:tcW w:w="2701" w:type="dxa"/>
            <w:tcBorders>
              <w:top w:val="nil"/>
              <w:left w:val="single" w:sz="4" w:space="0" w:color="000000"/>
              <w:bottom w:val="single" w:sz="4" w:space="0" w:color="000000"/>
              <w:right w:val="single" w:sz="4" w:space="0" w:color="000000"/>
            </w:tcBorders>
            <w:vAlign w:val="center"/>
          </w:tcPr>
          <w:p>
            <w:pPr>
              <w:shd w:val="clear" w:color="000000" w:fill="auto"/>
              <w:suppressAutoHyphens/>
              <w:snapToGrid w:val="0"/>
              <w:rPr>
                <w:rFonts w:cs="Calibri"/>
                <w:sz w:val="20"/>
                <w:lang w:eastAsia="ar-SA"/>
              </w:rPr>
            </w:pPr>
          </w:p>
        </w:tc>
      </w:tr>
      <w:tr>
        <w:trPr>
          <w:gridAfter w:val="1"/>
          <w:wAfter w:w="9" w:type="dxa"/>
        </w:trPr>
        <w:tc>
          <w:tcPr>
            <w:tcW w:w="948" w:type="dxa"/>
            <w:tcBorders>
              <w:top w:val="nil"/>
              <w:left w:val="single" w:sz="4" w:space="0" w:color="000000"/>
              <w:bottom w:val="single" w:sz="4" w:space="0" w:color="000000"/>
              <w:right w:val="nil"/>
            </w:tcBorders>
            <w:vAlign w:val="center"/>
            <w:hideMark/>
          </w:tcPr>
          <w:p>
            <w:pPr>
              <w:shd w:val="clear" w:color="000000" w:fill="auto"/>
              <w:suppressAutoHyphens/>
              <w:snapToGrid w:val="0"/>
              <w:rPr>
                <w:rFonts w:cs="Calibri"/>
                <w:sz w:val="20"/>
                <w:lang w:eastAsia="ar-SA"/>
              </w:rPr>
            </w:pPr>
            <w:r>
              <w:rPr>
                <w:sz w:val="20"/>
              </w:rPr>
              <w:t>2.1.5.</w:t>
            </w:r>
          </w:p>
        </w:tc>
        <w:tc>
          <w:tcPr>
            <w:tcW w:w="3878" w:type="dxa"/>
            <w:tcBorders>
              <w:top w:val="nil"/>
              <w:left w:val="single" w:sz="4" w:space="0" w:color="000000"/>
              <w:bottom w:val="single" w:sz="4" w:space="0" w:color="000000"/>
              <w:right w:val="nil"/>
            </w:tcBorders>
            <w:vAlign w:val="center"/>
            <w:hideMark/>
          </w:tcPr>
          <w:p>
            <w:pPr>
              <w:shd w:val="clear" w:color="000000" w:fill="auto"/>
              <w:suppressAutoHyphens/>
              <w:snapToGrid w:val="0"/>
              <w:rPr>
                <w:rFonts w:cs="Calibri"/>
                <w:sz w:val="20"/>
                <w:lang w:eastAsia="ar-SA"/>
              </w:rPr>
            </w:pPr>
            <w:r>
              <w:rPr>
                <w:sz w:val="20"/>
              </w:rPr>
              <w:t xml:space="preserve">namo  butų ir kitų patalpų naudingasis (bendrasis) plotas (2.1.2+2.1.4)</w:t>
            </w:r>
          </w:p>
        </w:tc>
        <w:tc>
          <w:tcPr>
            <w:tcW w:w="1024" w:type="dxa"/>
            <w:tcBorders>
              <w:top w:val="nil"/>
              <w:left w:val="single" w:sz="4" w:space="0" w:color="000000"/>
              <w:bottom w:val="single" w:sz="4" w:space="0" w:color="000000"/>
              <w:right w:val="nil"/>
            </w:tcBorders>
            <w:vAlign w:val="center"/>
            <w:hideMark/>
          </w:tcPr>
          <w:p>
            <w:pPr>
              <w:shd w:val="clear" w:color="000000" w:fill="auto"/>
              <w:suppressAutoHyphens/>
              <w:snapToGrid w:val="0"/>
              <w:jc w:val="center"/>
              <w:rPr>
                <w:rFonts w:cs="Calibri"/>
                <w:sz w:val="20"/>
                <w:vertAlign w:val="superscript"/>
                <w:lang w:eastAsia="ar-SA"/>
              </w:rPr>
            </w:pPr>
            <w:r>
              <w:rPr>
                <w:sz w:val="20"/>
              </w:rPr>
              <w:t>m</w:t>
            </w:r>
            <w:r>
              <w:rPr>
                <w:sz w:val="20"/>
                <w:vertAlign w:val="superscript"/>
              </w:rPr>
              <w:t>2</w:t>
            </w:r>
          </w:p>
        </w:tc>
        <w:tc>
          <w:tcPr>
            <w:tcW w:w="1127" w:type="dxa"/>
            <w:tcBorders>
              <w:top w:val="nil"/>
              <w:left w:val="single" w:sz="4" w:space="0" w:color="000000"/>
              <w:bottom w:val="single" w:sz="4" w:space="0" w:color="000000"/>
              <w:right w:val="nil"/>
            </w:tcBorders>
            <w:vAlign w:val="center"/>
          </w:tcPr>
          <w:p>
            <w:pPr>
              <w:shd w:val="clear" w:color="000000" w:fill="auto"/>
              <w:suppressAutoHyphens/>
              <w:snapToGrid w:val="0"/>
              <w:rPr>
                <w:rFonts w:cs="Calibri"/>
                <w:sz w:val="20"/>
                <w:lang w:eastAsia="ar-SA"/>
              </w:rPr>
            </w:pPr>
          </w:p>
        </w:tc>
        <w:tc>
          <w:tcPr>
            <w:tcW w:w="2701" w:type="dxa"/>
            <w:tcBorders>
              <w:top w:val="nil"/>
              <w:left w:val="single" w:sz="4" w:space="0" w:color="000000"/>
              <w:bottom w:val="single" w:sz="4" w:space="0" w:color="000000"/>
              <w:right w:val="single" w:sz="4" w:space="0" w:color="000000"/>
            </w:tcBorders>
            <w:vAlign w:val="center"/>
          </w:tcPr>
          <w:p>
            <w:pPr>
              <w:shd w:val="clear" w:color="000000" w:fill="auto"/>
              <w:suppressAutoHyphens/>
              <w:snapToGrid w:val="0"/>
              <w:rPr>
                <w:rFonts w:cs="Calibri"/>
                <w:sz w:val="20"/>
                <w:lang w:eastAsia="ar-SA"/>
              </w:rPr>
            </w:pPr>
          </w:p>
        </w:tc>
      </w:tr>
      <w:tr>
        <w:tc>
          <w:tcPr>
            <w:tcW w:w="948" w:type="dxa"/>
            <w:tcBorders>
              <w:top w:val="nil"/>
              <w:left w:val="single" w:sz="4" w:space="0" w:color="000000"/>
              <w:bottom w:val="single" w:sz="4" w:space="0" w:color="000000"/>
              <w:right w:val="nil"/>
            </w:tcBorders>
            <w:shd w:val="clear" w:color="auto" w:fill="A6A6A6"/>
            <w:vAlign w:val="center"/>
            <w:hideMark/>
          </w:tcPr>
          <w:p>
            <w:pPr>
              <w:shd w:val="clear" w:color="000000" w:fill="auto"/>
              <w:suppressAutoHyphens/>
              <w:snapToGrid w:val="0"/>
              <w:rPr>
                <w:rFonts w:cs="Calibri"/>
                <w:sz w:val="20"/>
                <w:lang w:eastAsia="ar-SA"/>
              </w:rPr>
            </w:pPr>
            <w:r>
              <w:rPr>
                <w:sz w:val="20"/>
              </w:rPr>
              <w:t>2.2.</w:t>
            </w:r>
          </w:p>
        </w:tc>
        <w:tc>
          <w:tcPr>
            <w:tcW w:w="8739" w:type="dxa"/>
            <w:gridSpan w:val="5"/>
            <w:tcBorders>
              <w:top w:val="nil"/>
              <w:left w:val="single" w:sz="4" w:space="0" w:color="000000"/>
              <w:bottom w:val="single" w:sz="4" w:space="0" w:color="000000"/>
              <w:right w:val="single" w:sz="4" w:space="0" w:color="000000"/>
            </w:tcBorders>
            <w:shd w:val="clear" w:color="auto" w:fill="A6A6A6"/>
            <w:vAlign w:val="center"/>
            <w:hideMark/>
          </w:tcPr>
          <w:p>
            <w:pPr>
              <w:shd w:val="clear" w:color="000000" w:fill="auto"/>
              <w:suppressAutoHyphens/>
              <w:snapToGrid w:val="0"/>
              <w:rPr>
                <w:rFonts w:cs="Calibri"/>
                <w:sz w:val="20"/>
                <w:lang w:eastAsia="ar-SA"/>
              </w:rPr>
            </w:pPr>
            <w:r>
              <w:rPr>
                <w:b/>
                <w:sz w:val="20"/>
              </w:rPr>
              <w:t xml:space="preserve">sienos </w:t>
            </w:r>
            <w:r>
              <w:rPr>
                <w:sz w:val="20"/>
              </w:rPr>
              <w:t>(nurodyti konstrukciją)</w:t>
            </w:r>
          </w:p>
        </w:tc>
      </w:tr>
      <w:tr>
        <w:trPr>
          <w:gridAfter w:val="1"/>
          <w:wAfter w:w="9" w:type="dxa"/>
        </w:trPr>
        <w:tc>
          <w:tcPr>
            <w:tcW w:w="948" w:type="dxa"/>
            <w:tcBorders>
              <w:top w:val="nil"/>
              <w:left w:val="single" w:sz="4" w:space="0" w:color="000000"/>
              <w:bottom w:val="single" w:sz="4" w:space="0" w:color="000000"/>
              <w:right w:val="nil"/>
            </w:tcBorders>
            <w:vAlign w:val="center"/>
            <w:hideMark/>
          </w:tcPr>
          <w:p>
            <w:pPr>
              <w:shd w:val="clear" w:color="000000" w:fill="auto"/>
              <w:suppressAutoHyphens/>
              <w:snapToGrid w:val="0"/>
              <w:rPr>
                <w:rFonts w:cs="Calibri"/>
                <w:sz w:val="20"/>
                <w:lang w:eastAsia="ar-SA"/>
              </w:rPr>
            </w:pPr>
            <w:r>
              <w:rPr>
                <w:sz w:val="20"/>
              </w:rPr>
              <w:t>2.2.1.</w:t>
            </w:r>
          </w:p>
        </w:tc>
        <w:tc>
          <w:tcPr>
            <w:tcW w:w="3878" w:type="dxa"/>
            <w:tcBorders>
              <w:top w:val="nil"/>
              <w:left w:val="single" w:sz="4" w:space="0" w:color="000000"/>
              <w:bottom w:val="single" w:sz="4" w:space="0" w:color="000000"/>
              <w:right w:val="nil"/>
            </w:tcBorders>
            <w:vAlign w:val="center"/>
            <w:hideMark/>
          </w:tcPr>
          <w:p>
            <w:pPr>
              <w:shd w:val="clear" w:color="000000" w:fill="auto"/>
              <w:suppressAutoHyphens/>
              <w:snapToGrid w:val="0"/>
              <w:rPr>
                <w:rFonts w:cs="Calibri"/>
                <w:b/>
                <w:sz w:val="20"/>
                <w:lang w:eastAsia="ar-SA"/>
              </w:rPr>
            </w:pPr>
            <w:r>
              <w:rPr>
                <w:sz w:val="20"/>
              </w:rPr>
              <w:t>išorinių sienų plotas (atėmus langų ir kitų angų plotą), įskaitant angokraščius</w:t>
            </w:r>
          </w:p>
        </w:tc>
        <w:tc>
          <w:tcPr>
            <w:tcW w:w="1024" w:type="dxa"/>
            <w:tcBorders>
              <w:top w:val="nil"/>
              <w:left w:val="single" w:sz="4" w:space="0" w:color="000000"/>
              <w:bottom w:val="single" w:sz="4" w:space="0" w:color="000000"/>
              <w:right w:val="nil"/>
            </w:tcBorders>
            <w:vAlign w:val="center"/>
            <w:hideMark/>
          </w:tcPr>
          <w:p>
            <w:pPr>
              <w:shd w:val="clear" w:color="000000" w:fill="auto"/>
              <w:suppressAutoHyphens/>
              <w:snapToGrid w:val="0"/>
              <w:jc w:val="center"/>
              <w:rPr>
                <w:rFonts w:cs="Calibri"/>
                <w:sz w:val="20"/>
                <w:vertAlign w:val="superscript"/>
                <w:lang w:eastAsia="ar-SA"/>
              </w:rPr>
            </w:pPr>
            <w:r>
              <w:rPr>
                <w:sz w:val="20"/>
              </w:rPr>
              <w:t>m</w:t>
            </w:r>
            <w:r>
              <w:rPr>
                <w:sz w:val="20"/>
                <w:vertAlign w:val="superscript"/>
              </w:rPr>
              <w:t>2</w:t>
            </w:r>
          </w:p>
        </w:tc>
        <w:tc>
          <w:tcPr>
            <w:tcW w:w="1127" w:type="dxa"/>
            <w:tcBorders>
              <w:top w:val="nil"/>
              <w:left w:val="single" w:sz="4" w:space="0" w:color="000000"/>
              <w:bottom w:val="single" w:sz="4" w:space="0" w:color="000000"/>
              <w:right w:val="nil"/>
            </w:tcBorders>
            <w:vAlign w:val="center"/>
          </w:tcPr>
          <w:p>
            <w:pPr>
              <w:shd w:val="clear" w:color="000000" w:fill="auto"/>
              <w:suppressAutoHyphens/>
              <w:snapToGrid w:val="0"/>
              <w:rPr>
                <w:rFonts w:cs="Calibri"/>
                <w:sz w:val="20"/>
                <w:lang w:eastAsia="ar-SA"/>
              </w:rPr>
            </w:pPr>
          </w:p>
        </w:tc>
        <w:tc>
          <w:tcPr>
            <w:tcW w:w="2701" w:type="dxa"/>
            <w:tcBorders>
              <w:top w:val="nil"/>
              <w:left w:val="single" w:sz="4" w:space="0" w:color="000000"/>
              <w:bottom w:val="single" w:sz="4" w:space="0" w:color="000000"/>
              <w:right w:val="single" w:sz="4" w:space="0" w:color="000000"/>
            </w:tcBorders>
            <w:vAlign w:val="center"/>
          </w:tcPr>
          <w:p>
            <w:pPr>
              <w:shd w:val="clear" w:color="000000" w:fill="auto"/>
              <w:suppressAutoHyphens/>
              <w:snapToGrid w:val="0"/>
              <w:rPr>
                <w:rFonts w:cs="Calibri"/>
                <w:sz w:val="20"/>
                <w:lang w:eastAsia="ar-SA"/>
              </w:rPr>
            </w:pPr>
          </w:p>
        </w:tc>
      </w:tr>
      <w:tr>
        <w:trPr>
          <w:gridAfter w:val="1"/>
          <w:wAfter w:w="9" w:type="dxa"/>
        </w:trPr>
        <w:tc>
          <w:tcPr>
            <w:tcW w:w="948" w:type="dxa"/>
            <w:tcBorders>
              <w:top w:val="nil"/>
              <w:left w:val="single" w:sz="4" w:space="0" w:color="000000"/>
              <w:bottom w:val="single" w:sz="4" w:space="0" w:color="000000"/>
              <w:right w:val="nil"/>
            </w:tcBorders>
            <w:vAlign w:val="center"/>
            <w:hideMark/>
          </w:tcPr>
          <w:p>
            <w:pPr>
              <w:shd w:val="clear" w:color="000000" w:fill="auto"/>
              <w:suppressAutoHyphens/>
              <w:snapToGrid w:val="0"/>
              <w:rPr>
                <w:rFonts w:cs="Calibri"/>
                <w:sz w:val="20"/>
                <w:lang w:eastAsia="ar-SA"/>
              </w:rPr>
            </w:pPr>
            <w:r>
              <w:rPr>
                <w:sz w:val="20"/>
              </w:rPr>
              <w:t>2.2.2.</w:t>
            </w:r>
          </w:p>
        </w:tc>
        <w:tc>
          <w:tcPr>
            <w:tcW w:w="3878" w:type="dxa"/>
            <w:tcBorders>
              <w:top w:val="nil"/>
              <w:left w:val="single" w:sz="4" w:space="0" w:color="000000"/>
              <w:bottom w:val="single" w:sz="4" w:space="0" w:color="000000"/>
              <w:right w:val="nil"/>
            </w:tcBorders>
            <w:vAlign w:val="center"/>
            <w:hideMark/>
          </w:tcPr>
          <w:p>
            <w:pPr>
              <w:shd w:val="clear" w:color="000000" w:fill="auto"/>
              <w:suppressAutoHyphens/>
              <w:snapToGrid w:val="0"/>
              <w:rPr>
                <w:rFonts w:cs="Calibri"/>
                <w:sz w:val="20"/>
                <w:lang w:eastAsia="ar-SA"/>
              </w:rPr>
            </w:pPr>
            <w:r>
              <w:rPr>
                <w:sz w:val="20"/>
              </w:rPr>
              <w:t>išorinių sienų šilumos perdavimo koeficientas</w:t>
            </w:r>
          </w:p>
        </w:tc>
        <w:tc>
          <w:tcPr>
            <w:tcW w:w="1024" w:type="dxa"/>
            <w:tcBorders>
              <w:top w:val="nil"/>
              <w:left w:val="single" w:sz="4" w:space="0" w:color="000000"/>
              <w:bottom w:val="single" w:sz="4" w:space="0" w:color="000000"/>
              <w:right w:val="nil"/>
            </w:tcBorders>
            <w:vAlign w:val="center"/>
            <w:hideMark/>
          </w:tcPr>
          <w:p>
            <w:pPr>
              <w:shd w:val="clear" w:color="000000" w:fill="auto"/>
              <w:suppressAutoHyphens/>
              <w:snapToGrid w:val="0"/>
              <w:jc w:val="center"/>
              <w:rPr>
                <w:rFonts w:cs="Calibri"/>
                <w:sz w:val="20"/>
                <w:lang w:eastAsia="ar-SA"/>
              </w:rPr>
            </w:pPr>
            <w:r>
              <w:rPr>
                <w:sz w:val="20"/>
              </w:rPr>
              <w:t>W/m</w:t>
            </w:r>
            <w:r>
              <w:rPr>
                <w:sz w:val="20"/>
                <w:vertAlign w:val="superscript"/>
              </w:rPr>
              <w:t>2</w:t>
            </w:r>
            <w:r>
              <w:rPr>
                <w:sz w:val="20"/>
              </w:rPr>
              <w:t>K</w:t>
            </w:r>
          </w:p>
        </w:tc>
        <w:tc>
          <w:tcPr>
            <w:tcW w:w="1127" w:type="dxa"/>
            <w:tcBorders>
              <w:top w:val="nil"/>
              <w:left w:val="single" w:sz="4" w:space="0" w:color="000000"/>
              <w:bottom w:val="single" w:sz="4" w:space="0" w:color="000000"/>
              <w:right w:val="nil"/>
            </w:tcBorders>
            <w:vAlign w:val="center"/>
          </w:tcPr>
          <w:p>
            <w:pPr>
              <w:shd w:val="clear" w:color="000000" w:fill="auto"/>
              <w:suppressAutoHyphens/>
              <w:snapToGrid w:val="0"/>
              <w:rPr>
                <w:rFonts w:cs="Calibri"/>
                <w:sz w:val="20"/>
                <w:lang w:eastAsia="ar-SA"/>
              </w:rPr>
            </w:pPr>
          </w:p>
        </w:tc>
        <w:tc>
          <w:tcPr>
            <w:tcW w:w="2701" w:type="dxa"/>
            <w:tcBorders>
              <w:top w:val="nil"/>
              <w:left w:val="single" w:sz="4" w:space="0" w:color="000000"/>
              <w:bottom w:val="single" w:sz="4" w:space="0" w:color="000000"/>
              <w:right w:val="single" w:sz="4" w:space="0" w:color="000000"/>
            </w:tcBorders>
            <w:vAlign w:val="center"/>
          </w:tcPr>
          <w:p>
            <w:pPr>
              <w:shd w:val="clear" w:color="000000" w:fill="auto"/>
              <w:suppressAutoHyphens/>
              <w:snapToGrid w:val="0"/>
              <w:rPr>
                <w:rFonts w:cs="Calibri"/>
                <w:sz w:val="20"/>
                <w:lang w:eastAsia="ar-SA"/>
              </w:rPr>
            </w:pPr>
          </w:p>
        </w:tc>
      </w:tr>
      <w:tr>
        <w:trPr>
          <w:gridAfter w:val="1"/>
          <w:wAfter w:w="9" w:type="dxa"/>
        </w:trPr>
        <w:tc>
          <w:tcPr>
            <w:tcW w:w="948" w:type="dxa"/>
            <w:tcBorders>
              <w:top w:val="nil"/>
              <w:left w:val="single" w:sz="4" w:space="0" w:color="000000"/>
              <w:bottom w:val="single" w:sz="4" w:space="0" w:color="000000"/>
              <w:right w:val="nil"/>
            </w:tcBorders>
            <w:vAlign w:val="center"/>
            <w:hideMark/>
          </w:tcPr>
          <w:p>
            <w:pPr>
              <w:shd w:val="clear" w:color="000000" w:fill="auto"/>
              <w:suppressAutoHyphens/>
              <w:snapToGrid w:val="0"/>
              <w:rPr>
                <w:rFonts w:cs="Calibri"/>
                <w:sz w:val="20"/>
                <w:lang w:eastAsia="ar-SA"/>
              </w:rPr>
            </w:pPr>
            <w:r>
              <w:rPr>
                <w:sz w:val="20"/>
              </w:rPr>
              <w:t>2.2.3.</w:t>
            </w:r>
          </w:p>
        </w:tc>
        <w:tc>
          <w:tcPr>
            <w:tcW w:w="3878" w:type="dxa"/>
            <w:tcBorders>
              <w:top w:val="nil"/>
              <w:left w:val="single" w:sz="4" w:space="0" w:color="000000"/>
              <w:bottom w:val="single" w:sz="4" w:space="0" w:color="000000"/>
              <w:right w:val="nil"/>
            </w:tcBorders>
            <w:vAlign w:val="center"/>
            <w:hideMark/>
          </w:tcPr>
          <w:p>
            <w:pPr>
              <w:shd w:val="clear" w:color="000000" w:fill="auto"/>
              <w:suppressAutoHyphens/>
              <w:snapToGrid w:val="0"/>
              <w:rPr>
                <w:rFonts w:cs="Calibri"/>
                <w:sz w:val="20"/>
                <w:lang w:eastAsia="ar-SA"/>
              </w:rPr>
            </w:pPr>
            <w:r>
              <w:rPr>
                <w:sz w:val="20"/>
              </w:rPr>
              <w:t>cokolio plotas</w:t>
            </w:r>
          </w:p>
        </w:tc>
        <w:tc>
          <w:tcPr>
            <w:tcW w:w="1024" w:type="dxa"/>
            <w:tcBorders>
              <w:top w:val="nil"/>
              <w:left w:val="single" w:sz="4" w:space="0" w:color="000000"/>
              <w:bottom w:val="single" w:sz="4" w:space="0" w:color="000000"/>
              <w:right w:val="nil"/>
            </w:tcBorders>
            <w:vAlign w:val="center"/>
            <w:hideMark/>
          </w:tcPr>
          <w:p>
            <w:pPr>
              <w:shd w:val="clear" w:color="000000" w:fill="auto"/>
              <w:suppressAutoHyphens/>
              <w:snapToGrid w:val="0"/>
              <w:jc w:val="center"/>
              <w:rPr>
                <w:rFonts w:cs="Calibri"/>
                <w:sz w:val="20"/>
                <w:vertAlign w:val="superscript"/>
                <w:lang w:eastAsia="ar-SA"/>
              </w:rPr>
            </w:pPr>
            <w:r>
              <w:rPr>
                <w:sz w:val="20"/>
              </w:rPr>
              <w:t>m</w:t>
            </w:r>
            <w:r>
              <w:rPr>
                <w:sz w:val="20"/>
                <w:vertAlign w:val="superscript"/>
              </w:rPr>
              <w:t>2</w:t>
            </w:r>
          </w:p>
        </w:tc>
        <w:tc>
          <w:tcPr>
            <w:tcW w:w="1127" w:type="dxa"/>
            <w:tcBorders>
              <w:top w:val="nil"/>
              <w:left w:val="single" w:sz="4" w:space="0" w:color="000000"/>
              <w:bottom w:val="single" w:sz="4" w:space="0" w:color="000000"/>
              <w:right w:val="nil"/>
            </w:tcBorders>
            <w:vAlign w:val="center"/>
          </w:tcPr>
          <w:p>
            <w:pPr>
              <w:shd w:val="clear" w:color="000000" w:fill="auto"/>
              <w:suppressAutoHyphens/>
              <w:snapToGrid w:val="0"/>
              <w:rPr>
                <w:rFonts w:cs="Calibri"/>
                <w:sz w:val="20"/>
                <w:lang w:eastAsia="ar-SA"/>
              </w:rPr>
            </w:pPr>
          </w:p>
        </w:tc>
        <w:tc>
          <w:tcPr>
            <w:tcW w:w="2701" w:type="dxa"/>
            <w:tcBorders>
              <w:top w:val="nil"/>
              <w:left w:val="single" w:sz="4" w:space="0" w:color="000000"/>
              <w:bottom w:val="single" w:sz="4" w:space="0" w:color="000000"/>
              <w:right w:val="single" w:sz="4" w:space="0" w:color="000000"/>
            </w:tcBorders>
            <w:vAlign w:val="center"/>
          </w:tcPr>
          <w:p>
            <w:pPr>
              <w:shd w:val="clear" w:color="000000" w:fill="auto"/>
              <w:suppressAutoHyphens/>
              <w:snapToGrid w:val="0"/>
              <w:rPr>
                <w:rFonts w:cs="Calibri"/>
                <w:sz w:val="20"/>
                <w:lang w:eastAsia="ar-SA"/>
              </w:rPr>
            </w:pPr>
          </w:p>
        </w:tc>
      </w:tr>
      <w:tr>
        <w:trPr>
          <w:gridAfter w:val="1"/>
          <w:wAfter w:w="9" w:type="dxa"/>
        </w:trPr>
        <w:tc>
          <w:tcPr>
            <w:tcW w:w="948" w:type="dxa"/>
            <w:tcBorders>
              <w:top w:val="nil"/>
              <w:left w:val="single" w:sz="4" w:space="0" w:color="000000"/>
              <w:bottom w:val="single" w:sz="4" w:space="0" w:color="000000"/>
              <w:right w:val="nil"/>
            </w:tcBorders>
            <w:vAlign w:val="center"/>
            <w:hideMark/>
          </w:tcPr>
          <w:p>
            <w:pPr>
              <w:shd w:val="clear" w:color="000000" w:fill="auto"/>
              <w:suppressAutoHyphens/>
              <w:snapToGrid w:val="0"/>
              <w:rPr>
                <w:rFonts w:cs="Calibri"/>
                <w:sz w:val="20"/>
                <w:lang w:eastAsia="ar-SA"/>
              </w:rPr>
            </w:pPr>
            <w:r>
              <w:rPr>
                <w:sz w:val="20"/>
              </w:rPr>
              <w:t>2.2.4.</w:t>
            </w:r>
          </w:p>
        </w:tc>
        <w:tc>
          <w:tcPr>
            <w:tcW w:w="3878" w:type="dxa"/>
            <w:tcBorders>
              <w:top w:val="nil"/>
              <w:left w:val="single" w:sz="4" w:space="0" w:color="000000"/>
              <w:bottom w:val="single" w:sz="4" w:space="0" w:color="000000"/>
              <w:right w:val="nil"/>
            </w:tcBorders>
            <w:vAlign w:val="center"/>
            <w:hideMark/>
          </w:tcPr>
          <w:p>
            <w:pPr>
              <w:shd w:val="clear" w:color="000000" w:fill="auto"/>
              <w:suppressAutoHyphens/>
              <w:snapToGrid w:val="0"/>
              <w:rPr>
                <w:rFonts w:cs="Calibri"/>
                <w:sz w:val="20"/>
                <w:lang w:eastAsia="ar-SA"/>
              </w:rPr>
            </w:pPr>
            <w:r>
              <w:rPr>
                <w:sz w:val="20"/>
              </w:rPr>
              <w:t>cokolio šilumos perdavimo koeficientas</w:t>
            </w:r>
          </w:p>
        </w:tc>
        <w:tc>
          <w:tcPr>
            <w:tcW w:w="1024" w:type="dxa"/>
            <w:tcBorders>
              <w:top w:val="nil"/>
              <w:left w:val="single" w:sz="4" w:space="0" w:color="000000"/>
              <w:bottom w:val="single" w:sz="4" w:space="0" w:color="000000"/>
              <w:right w:val="nil"/>
            </w:tcBorders>
            <w:vAlign w:val="center"/>
            <w:hideMark/>
          </w:tcPr>
          <w:p>
            <w:pPr>
              <w:shd w:val="clear" w:color="000000" w:fill="auto"/>
              <w:suppressAutoHyphens/>
              <w:snapToGrid w:val="0"/>
              <w:jc w:val="center"/>
              <w:rPr>
                <w:rFonts w:cs="Calibri"/>
                <w:sz w:val="20"/>
                <w:lang w:eastAsia="ar-SA"/>
              </w:rPr>
            </w:pPr>
            <w:r>
              <w:rPr>
                <w:sz w:val="20"/>
              </w:rPr>
              <w:t>W/m</w:t>
            </w:r>
            <w:r>
              <w:rPr>
                <w:sz w:val="20"/>
                <w:vertAlign w:val="superscript"/>
              </w:rPr>
              <w:t>2</w:t>
            </w:r>
            <w:r>
              <w:rPr>
                <w:sz w:val="20"/>
              </w:rPr>
              <w:t>K</w:t>
            </w:r>
          </w:p>
        </w:tc>
        <w:tc>
          <w:tcPr>
            <w:tcW w:w="1127" w:type="dxa"/>
            <w:tcBorders>
              <w:top w:val="nil"/>
              <w:left w:val="single" w:sz="4" w:space="0" w:color="000000"/>
              <w:bottom w:val="single" w:sz="4" w:space="0" w:color="000000"/>
              <w:right w:val="nil"/>
            </w:tcBorders>
            <w:vAlign w:val="center"/>
          </w:tcPr>
          <w:p>
            <w:pPr>
              <w:shd w:val="clear" w:color="000000" w:fill="auto"/>
              <w:suppressAutoHyphens/>
              <w:snapToGrid w:val="0"/>
              <w:rPr>
                <w:rFonts w:cs="Calibri"/>
                <w:sz w:val="20"/>
                <w:lang w:eastAsia="ar-SA"/>
              </w:rPr>
            </w:pPr>
          </w:p>
        </w:tc>
        <w:tc>
          <w:tcPr>
            <w:tcW w:w="2701" w:type="dxa"/>
            <w:tcBorders>
              <w:top w:val="nil"/>
              <w:left w:val="single" w:sz="4" w:space="0" w:color="000000"/>
              <w:bottom w:val="single" w:sz="4" w:space="0" w:color="000000"/>
              <w:right w:val="single" w:sz="4" w:space="0" w:color="000000"/>
            </w:tcBorders>
            <w:vAlign w:val="center"/>
          </w:tcPr>
          <w:p>
            <w:pPr>
              <w:shd w:val="clear" w:color="000000" w:fill="auto"/>
              <w:suppressAutoHyphens/>
              <w:snapToGrid w:val="0"/>
              <w:rPr>
                <w:rFonts w:cs="Calibri"/>
                <w:sz w:val="20"/>
                <w:lang w:eastAsia="ar-SA"/>
              </w:rPr>
            </w:pPr>
          </w:p>
        </w:tc>
      </w:tr>
      <w:tr>
        <w:tc>
          <w:tcPr>
            <w:tcW w:w="948" w:type="dxa"/>
            <w:tcBorders>
              <w:top w:val="nil"/>
              <w:left w:val="single" w:sz="4" w:space="0" w:color="000000"/>
              <w:bottom w:val="single" w:sz="4" w:space="0" w:color="000000"/>
              <w:right w:val="nil"/>
            </w:tcBorders>
            <w:shd w:val="clear" w:color="auto" w:fill="A6A6A6"/>
            <w:vAlign w:val="center"/>
            <w:hideMark/>
          </w:tcPr>
          <w:p>
            <w:pPr>
              <w:shd w:val="clear" w:color="000000" w:fill="auto"/>
              <w:suppressAutoHyphens/>
              <w:snapToGrid w:val="0"/>
              <w:rPr>
                <w:rFonts w:cs="Calibri"/>
                <w:sz w:val="20"/>
                <w:lang w:eastAsia="ar-SA"/>
              </w:rPr>
            </w:pPr>
            <w:r>
              <w:rPr>
                <w:sz w:val="20"/>
              </w:rPr>
              <w:t>2.3.</w:t>
            </w:r>
          </w:p>
        </w:tc>
        <w:tc>
          <w:tcPr>
            <w:tcW w:w="8739" w:type="dxa"/>
            <w:gridSpan w:val="5"/>
            <w:tcBorders>
              <w:top w:val="nil"/>
              <w:left w:val="single" w:sz="4" w:space="0" w:color="000000"/>
              <w:bottom w:val="single" w:sz="4" w:space="0" w:color="000000"/>
              <w:right w:val="single" w:sz="4" w:space="0" w:color="000000"/>
            </w:tcBorders>
            <w:shd w:val="clear" w:color="auto" w:fill="A6A6A6"/>
            <w:vAlign w:val="center"/>
            <w:hideMark/>
          </w:tcPr>
          <w:p>
            <w:pPr>
              <w:shd w:val="clear" w:color="000000" w:fill="auto"/>
              <w:suppressAutoHyphens/>
              <w:snapToGrid w:val="0"/>
              <w:rPr>
                <w:rFonts w:cs="Calibri"/>
                <w:sz w:val="20"/>
                <w:lang w:eastAsia="ar-SA"/>
              </w:rPr>
            </w:pPr>
            <w:r>
              <w:rPr>
                <w:b/>
                <w:sz w:val="20"/>
              </w:rPr>
              <w:t xml:space="preserve">stogas </w:t>
            </w:r>
            <w:r>
              <w:rPr>
                <w:sz w:val="20"/>
              </w:rPr>
              <w:t>(nurodyti konstrukciją)</w:t>
            </w:r>
          </w:p>
        </w:tc>
      </w:tr>
      <w:tr>
        <w:trPr>
          <w:gridAfter w:val="1"/>
          <w:wAfter w:w="9" w:type="dxa"/>
        </w:trPr>
        <w:tc>
          <w:tcPr>
            <w:tcW w:w="948" w:type="dxa"/>
            <w:tcBorders>
              <w:top w:val="nil"/>
              <w:left w:val="single" w:sz="4" w:space="0" w:color="000000"/>
              <w:bottom w:val="single" w:sz="4" w:space="0" w:color="000000"/>
              <w:right w:val="nil"/>
            </w:tcBorders>
            <w:vAlign w:val="center"/>
            <w:hideMark/>
          </w:tcPr>
          <w:p>
            <w:pPr>
              <w:shd w:val="clear" w:color="000000" w:fill="auto"/>
              <w:suppressAutoHyphens/>
              <w:snapToGrid w:val="0"/>
              <w:rPr>
                <w:rFonts w:cs="Calibri"/>
                <w:sz w:val="20"/>
                <w:lang w:eastAsia="ar-SA"/>
              </w:rPr>
            </w:pPr>
            <w:r>
              <w:rPr>
                <w:sz w:val="20"/>
              </w:rPr>
              <w:t>2.3.1.</w:t>
            </w:r>
          </w:p>
        </w:tc>
        <w:tc>
          <w:tcPr>
            <w:tcW w:w="3878" w:type="dxa"/>
            <w:tcBorders>
              <w:top w:val="nil"/>
              <w:left w:val="single" w:sz="4" w:space="0" w:color="000000"/>
              <w:bottom w:val="single" w:sz="4" w:space="0" w:color="000000"/>
              <w:right w:val="nil"/>
            </w:tcBorders>
            <w:vAlign w:val="center"/>
            <w:hideMark/>
          </w:tcPr>
          <w:p>
            <w:pPr>
              <w:shd w:val="clear" w:color="000000" w:fill="auto"/>
              <w:suppressAutoHyphens/>
              <w:snapToGrid w:val="0"/>
              <w:rPr>
                <w:rFonts w:cs="Calibri"/>
                <w:sz w:val="20"/>
                <w:lang w:eastAsia="ar-SA"/>
              </w:rPr>
            </w:pPr>
            <w:r>
              <w:rPr>
                <w:sz w:val="20"/>
              </w:rPr>
              <w:t>stogo dangos plotas</w:t>
            </w:r>
          </w:p>
        </w:tc>
        <w:tc>
          <w:tcPr>
            <w:tcW w:w="1024" w:type="dxa"/>
            <w:tcBorders>
              <w:top w:val="nil"/>
              <w:left w:val="single" w:sz="4" w:space="0" w:color="000000"/>
              <w:bottom w:val="single" w:sz="4" w:space="0" w:color="000000"/>
              <w:right w:val="nil"/>
            </w:tcBorders>
            <w:vAlign w:val="center"/>
            <w:hideMark/>
          </w:tcPr>
          <w:p>
            <w:pPr>
              <w:shd w:val="clear" w:color="000000" w:fill="auto"/>
              <w:suppressAutoHyphens/>
              <w:snapToGrid w:val="0"/>
              <w:jc w:val="center"/>
              <w:rPr>
                <w:rFonts w:cs="Calibri"/>
                <w:sz w:val="20"/>
                <w:vertAlign w:val="superscript"/>
                <w:lang w:eastAsia="ar-SA"/>
              </w:rPr>
            </w:pPr>
            <w:r>
              <w:rPr>
                <w:sz w:val="20"/>
              </w:rPr>
              <w:t>m</w:t>
            </w:r>
            <w:r>
              <w:rPr>
                <w:sz w:val="20"/>
                <w:vertAlign w:val="superscript"/>
              </w:rPr>
              <w:t>2</w:t>
            </w:r>
          </w:p>
        </w:tc>
        <w:tc>
          <w:tcPr>
            <w:tcW w:w="1127" w:type="dxa"/>
            <w:tcBorders>
              <w:top w:val="nil"/>
              <w:left w:val="single" w:sz="4" w:space="0" w:color="000000"/>
              <w:bottom w:val="single" w:sz="4" w:space="0" w:color="000000"/>
              <w:right w:val="nil"/>
            </w:tcBorders>
            <w:vAlign w:val="center"/>
          </w:tcPr>
          <w:p>
            <w:pPr>
              <w:shd w:val="clear" w:color="000000" w:fill="auto"/>
              <w:suppressAutoHyphens/>
              <w:snapToGrid w:val="0"/>
              <w:rPr>
                <w:rFonts w:cs="Calibri"/>
                <w:sz w:val="20"/>
                <w:lang w:eastAsia="ar-SA"/>
              </w:rPr>
            </w:pPr>
          </w:p>
        </w:tc>
        <w:tc>
          <w:tcPr>
            <w:tcW w:w="2701" w:type="dxa"/>
            <w:tcBorders>
              <w:top w:val="nil"/>
              <w:left w:val="single" w:sz="4" w:space="0" w:color="000000"/>
              <w:bottom w:val="single" w:sz="4" w:space="0" w:color="000000"/>
              <w:right w:val="single" w:sz="4" w:space="0" w:color="000000"/>
            </w:tcBorders>
            <w:vAlign w:val="center"/>
          </w:tcPr>
          <w:p>
            <w:pPr>
              <w:shd w:val="clear" w:color="000000" w:fill="auto"/>
              <w:suppressAutoHyphens/>
              <w:snapToGrid w:val="0"/>
              <w:rPr>
                <w:rFonts w:cs="Calibri"/>
                <w:sz w:val="20"/>
                <w:lang w:eastAsia="ar-SA"/>
              </w:rPr>
            </w:pPr>
          </w:p>
        </w:tc>
      </w:tr>
      <w:tr>
        <w:trPr>
          <w:gridAfter w:val="1"/>
          <w:wAfter w:w="9" w:type="dxa"/>
        </w:trPr>
        <w:tc>
          <w:tcPr>
            <w:tcW w:w="948" w:type="dxa"/>
            <w:tcBorders>
              <w:top w:val="nil"/>
              <w:left w:val="single" w:sz="4" w:space="0" w:color="000000"/>
              <w:bottom w:val="single" w:sz="4" w:space="0" w:color="000000"/>
              <w:right w:val="nil"/>
            </w:tcBorders>
            <w:tcMar>
              <w:top w:w="108" w:type="dxa"/>
              <w:left w:w="108" w:type="dxa"/>
              <w:bottom w:w="108" w:type="dxa"/>
              <w:right w:w="108" w:type="dxa"/>
            </w:tcMar>
            <w:vAlign w:val="center"/>
            <w:hideMark/>
          </w:tcPr>
          <w:p>
            <w:pPr>
              <w:shd w:val="clear" w:color="000000" w:fill="auto"/>
              <w:suppressAutoHyphens/>
              <w:snapToGrid w:val="0"/>
              <w:rPr>
                <w:rFonts w:cs="Calibri"/>
                <w:sz w:val="20"/>
                <w:lang w:eastAsia="ar-SA"/>
              </w:rPr>
            </w:pPr>
            <w:r>
              <w:rPr>
                <w:sz w:val="20"/>
              </w:rPr>
              <w:t>2.3.2.</w:t>
            </w:r>
          </w:p>
        </w:tc>
        <w:tc>
          <w:tcPr>
            <w:tcW w:w="3878" w:type="dxa"/>
            <w:tcBorders>
              <w:top w:val="nil"/>
              <w:left w:val="single" w:sz="4" w:space="0" w:color="000000"/>
              <w:bottom w:val="single" w:sz="4" w:space="0" w:color="000000"/>
              <w:right w:val="nil"/>
            </w:tcBorders>
            <w:tcMar>
              <w:top w:w="108" w:type="dxa"/>
              <w:left w:w="108" w:type="dxa"/>
              <w:bottom w:w="108" w:type="dxa"/>
              <w:right w:w="108" w:type="dxa"/>
            </w:tcMar>
            <w:vAlign w:val="center"/>
            <w:hideMark/>
          </w:tcPr>
          <w:p>
            <w:pPr>
              <w:shd w:val="clear" w:color="000000" w:fill="auto"/>
              <w:suppressAutoHyphens/>
              <w:snapToGrid w:val="0"/>
              <w:rPr>
                <w:rFonts w:cs="Calibri"/>
                <w:sz w:val="20"/>
                <w:lang w:eastAsia="ar-SA"/>
              </w:rPr>
            </w:pPr>
            <w:r>
              <w:rPr>
                <w:sz w:val="20"/>
              </w:rPr>
              <w:t xml:space="preserve">Stogo ar  perdangos pastogėje šilumos perdavimo koeficientas</w:t>
            </w:r>
          </w:p>
        </w:tc>
        <w:tc>
          <w:tcPr>
            <w:tcW w:w="1024" w:type="dxa"/>
            <w:tcBorders>
              <w:top w:val="nil"/>
              <w:left w:val="single" w:sz="4" w:space="0" w:color="000000"/>
              <w:bottom w:val="single" w:sz="4" w:space="0" w:color="000000"/>
              <w:right w:val="nil"/>
            </w:tcBorders>
            <w:tcMar>
              <w:top w:w="108" w:type="dxa"/>
              <w:left w:w="108" w:type="dxa"/>
              <w:bottom w:w="108" w:type="dxa"/>
              <w:right w:w="108" w:type="dxa"/>
            </w:tcMar>
            <w:vAlign w:val="center"/>
            <w:hideMark/>
          </w:tcPr>
          <w:p>
            <w:pPr>
              <w:shd w:val="clear" w:color="000000" w:fill="auto"/>
              <w:suppressAutoHyphens/>
              <w:snapToGrid w:val="0"/>
              <w:jc w:val="center"/>
              <w:rPr>
                <w:rFonts w:cs="Calibri"/>
                <w:sz w:val="20"/>
                <w:lang w:eastAsia="ar-SA"/>
              </w:rPr>
            </w:pPr>
            <w:r>
              <w:rPr>
                <w:sz w:val="20"/>
              </w:rPr>
              <w:t>W/m</w:t>
            </w:r>
            <w:r>
              <w:rPr>
                <w:sz w:val="20"/>
                <w:vertAlign w:val="superscript"/>
              </w:rPr>
              <w:t>2</w:t>
            </w:r>
            <w:r>
              <w:rPr>
                <w:sz w:val="20"/>
              </w:rPr>
              <w:t>K</w:t>
            </w:r>
          </w:p>
        </w:tc>
        <w:tc>
          <w:tcPr>
            <w:tcW w:w="1127" w:type="dxa"/>
            <w:tcBorders>
              <w:top w:val="nil"/>
              <w:left w:val="single" w:sz="4" w:space="0" w:color="000000"/>
              <w:bottom w:val="single" w:sz="4" w:space="0" w:color="000000"/>
              <w:right w:val="nil"/>
            </w:tcBorders>
            <w:vAlign w:val="center"/>
          </w:tcPr>
          <w:p>
            <w:pPr>
              <w:shd w:val="clear" w:color="000000" w:fill="auto"/>
              <w:suppressAutoHyphens/>
              <w:snapToGrid w:val="0"/>
              <w:rPr>
                <w:rFonts w:cs="Calibri"/>
                <w:sz w:val="20"/>
                <w:lang w:eastAsia="ar-SA"/>
              </w:rPr>
            </w:pPr>
          </w:p>
        </w:tc>
        <w:tc>
          <w:tcPr>
            <w:tcW w:w="2701" w:type="dxa"/>
            <w:tcBorders>
              <w:top w:val="nil"/>
              <w:left w:val="single" w:sz="4" w:space="0" w:color="000000"/>
              <w:bottom w:val="single" w:sz="4" w:space="0" w:color="000000"/>
              <w:right w:val="single" w:sz="4" w:space="0" w:color="000000"/>
            </w:tcBorders>
            <w:vAlign w:val="center"/>
          </w:tcPr>
          <w:p>
            <w:pPr>
              <w:shd w:val="clear" w:color="000000" w:fill="auto"/>
              <w:suppressAutoHyphens/>
              <w:snapToGrid w:val="0"/>
              <w:rPr>
                <w:rFonts w:cs="Calibri"/>
                <w:sz w:val="20"/>
                <w:lang w:eastAsia="ar-SA"/>
              </w:rPr>
            </w:pPr>
          </w:p>
        </w:tc>
      </w:tr>
      <w:tr>
        <w:tc>
          <w:tcPr>
            <w:tcW w:w="948" w:type="dxa"/>
            <w:tcBorders>
              <w:top w:val="nil"/>
              <w:left w:val="single" w:sz="4" w:space="0" w:color="000000"/>
              <w:bottom w:val="single" w:sz="4" w:space="0" w:color="000000"/>
              <w:right w:val="nil"/>
            </w:tcBorders>
            <w:shd w:val="clear" w:color="auto" w:fill="A6A6A6"/>
            <w:vAlign w:val="center"/>
            <w:hideMark/>
          </w:tcPr>
          <w:p>
            <w:pPr>
              <w:shd w:val="clear" w:color="000000" w:fill="auto"/>
              <w:suppressAutoHyphens/>
              <w:snapToGrid w:val="0"/>
              <w:rPr>
                <w:rFonts w:cs="Calibri"/>
                <w:sz w:val="20"/>
                <w:lang w:eastAsia="ar-SA"/>
              </w:rPr>
            </w:pPr>
            <w:r>
              <w:rPr>
                <w:sz w:val="20"/>
              </w:rPr>
              <w:t>2.4.</w:t>
            </w:r>
          </w:p>
        </w:tc>
        <w:tc>
          <w:tcPr>
            <w:tcW w:w="8739" w:type="dxa"/>
            <w:gridSpan w:val="5"/>
            <w:tcBorders>
              <w:top w:val="nil"/>
              <w:left w:val="single" w:sz="4" w:space="0" w:color="000000"/>
              <w:bottom w:val="single" w:sz="4" w:space="0" w:color="000000"/>
              <w:right w:val="single" w:sz="4" w:space="0" w:color="000000"/>
            </w:tcBorders>
            <w:shd w:val="clear" w:color="auto" w:fill="A6A6A6"/>
            <w:vAlign w:val="center"/>
            <w:hideMark/>
          </w:tcPr>
          <w:p>
            <w:pPr>
              <w:shd w:val="clear" w:color="000000" w:fill="auto"/>
              <w:suppressAutoHyphens/>
              <w:snapToGrid w:val="0"/>
              <w:rPr>
                <w:rFonts w:cs="Calibri"/>
                <w:b/>
                <w:sz w:val="20"/>
                <w:lang w:eastAsia="ar-SA"/>
              </w:rPr>
            </w:pPr>
            <w:r>
              <w:rPr>
                <w:b/>
                <w:sz w:val="20"/>
              </w:rPr>
              <w:t>butų ir kitų patalpų langai ir balkonų durys</w:t>
            </w:r>
          </w:p>
        </w:tc>
      </w:tr>
      <w:tr>
        <w:trPr>
          <w:gridAfter w:val="1"/>
          <w:wAfter w:w="9" w:type="dxa"/>
        </w:trPr>
        <w:tc>
          <w:tcPr>
            <w:tcW w:w="948" w:type="dxa"/>
            <w:tcBorders>
              <w:top w:val="nil"/>
              <w:left w:val="single" w:sz="4" w:space="0" w:color="000000"/>
              <w:bottom w:val="single" w:sz="4" w:space="0" w:color="000000"/>
              <w:right w:val="nil"/>
            </w:tcBorders>
            <w:vAlign w:val="center"/>
            <w:hideMark/>
          </w:tcPr>
          <w:p>
            <w:pPr>
              <w:shd w:val="clear" w:color="000000" w:fill="auto"/>
              <w:suppressAutoHyphens/>
              <w:snapToGrid w:val="0"/>
              <w:rPr>
                <w:rFonts w:cs="Calibri"/>
                <w:sz w:val="20"/>
                <w:lang w:eastAsia="ar-SA"/>
              </w:rPr>
            </w:pPr>
            <w:r>
              <w:rPr>
                <w:sz w:val="20"/>
              </w:rPr>
              <w:t>2.4.1.</w:t>
            </w:r>
          </w:p>
        </w:tc>
        <w:tc>
          <w:tcPr>
            <w:tcW w:w="3878" w:type="dxa"/>
            <w:tcBorders>
              <w:top w:val="nil"/>
              <w:left w:val="single" w:sz="4" w:space="0" w:color="000000"/>
              <w:bottom w:val="single" w:sz="4" w:space="0" w:color="000000"/>
              <w:right w:val="nil"/>
            </w:tcBorders>
            <w:vAlign w:val="center"/>
            <w:hideMark/>
          </w:tcPr>
          <w:p>
            <w:pPr>
              <w:shd w:val="clear" w:color="000000" w:fill="auto"/>
              <w:suppressAutoHyphens/>
              <w:snapToGrid w:val="0"/>
              <w:rPr>
                <w:rFonts w:cs="Calibri"/>
                <w:sz w:val="20"/>
                <w:lang w:eastAsia="ar-SA"/>
              </w:rPr>
            </w:pPr>
            <w:r>
              <w:rPr>
                <w:sz w:val="20"/>
              </w:rPr>
              <w:t>langų skaičius, iš jų:</w:t>
            </w:r>
          </w:p>
        </w:tc>
        <w:tc>
          <w:tcPr>
            <w:tcW w:w="1024" w:type="dxa"/>
            <w:tcBorders>
              <w:top w:val="nil"/>
              <w:left w:val="single" w:sz="4" w:space="0" w:color="000000"/>
              <w:bottom w:val="single" w:sz="4" w:space="0" w:color="000000"/>
              <w:right w:val="nil"/>
            </w:tcBorders>
            <w:vAlign w:val="center"/>
            <w:hideMark/>
          </w:tcPr>
          <w:p>
            <w:pPr>
              <w:shd w:val="clear" w:color="000000" w:fill="auto"/>
              <w:suppressAutoHyphens/>
              <w:snapToGrid w:val="0"/>
              <w:jc w:val="center"/>
              <w:rPr>
                <w:rFonts w:cs="Calibri"/>
                <w:sz w:val="20"/>
                <w:lang w:eastAsia="ar-SA"/>
              </w:rPr>
            </w:pPr>
            <w:r>
              <w:rPr>
                <w:sz w:val="20"/>
              </w:rPr>
              <w:t>vnt.</w:t>
            </w:r>
          </w:p>
        </w:tc>
        <w:tc>
          <w:tcPr>
            <w:tcW w:w="1127" w:type="dxa"/>
            <w:tcBorders>
              <w:top w:val="nil"/>
              <w:left w:val="single" w:sz="4" w:space="0" w:color="000000"/>
              <w:bottom w:val="single" w:sz="4" w:space="0" w:color="000000"/>
              <w:right w:val="nil"/>
            </w:tcBorders>
            <w:vAlign w:val="center"/>
          </w:tcPr>
          <w:p>
            <w:pPr>
              <w:shd w:val="clear" w:color="000000" w:fill="auto"/>
              <w:suppressAutoHyphens/>
              <w:snapToGrid w:val="0"/>
              <w:rPr>
                <w:rFonts w:cs="Calibri"/>
                <w:sz w:val="20"/>
                <w:lang w:eastAsia="ar-SA"/>
              </w:rPr>
            </w:pPr>
          </w:p>
        </w:tc>
        <w:tc>
          <w:tcPr>
            <w:tcW w:w="2701" w:type="dxa"/>
            <w:tcBorders>
              <w:top w:val="nil"/>
              <w:left w:val="single" w:sz="4" w:space="0" w:color="000000"/>
              <w:bottom w:val="single" w:sz="4" w:space="0" w:color="000000"/>
              <w:right w:val="single" w:sz="4" w:space="0" w:color="000000"/>
            </w:tcBorders>
            <w:vAlign w:val="center"/>
          </w:tcPr>
          <w:p>
            <w:pPr>
              <w:shd w:val="clear" w:color="000000" w:fill="auto"/>
              <w:suppressAutoHyphens/>
              <w:snapToGrid w:val="0"/>
              <w:rPr>
                <w:rFonts w:cs="Calibri"/>
                <w:sz w:val="20"/>
                <w:lang w:eastAsia="ar-SA"/>
              </w:rPr>
            </w:pPr>
          </w:p>
        </w:tc>
      </w:tr>
      <w:tr>
        <w:trPr>
          <w:gridAfter w:val="1"/>
          <w:wAfter w:w="9" w:type="dxa"/>
        </w:trPr>
        <w:tc>
          <w:tcPr>
            <w:tcW w:w="948" w:type="dxa"/>
            <w:tcBorders>
              <w:top w:val="nil"/>
              <w:left w:val="single" w:sz="4" w:space="0" w:color="000000"/>
              <w:bottom w:val="single" w:sz="4" w:space="0" w:color="000000"/>
              <w:right w:val="nil"/>
            </w:tcBorders>
            <w:vAlign w:val="center"/>
            <w:hideMark/>
          </w:tcPr>
          <w:p>
            <w:pPr>
              <w:shd w:val="clear" w:color="000000" w:fill="auto"/>
              <w:suppressAutoHyphens/>
              <w:snapToGrid w:val="0"/>
              <w:rPr>
                <w:rFonts w:cs="Calibri"/>
                <w:sz w:val="20"/>
                <w:lang w:eastAsia="ar-SA"/>
              </w:rPr>
            </w:pPr>
            <w:r>
              <w:rPr>
                <w:sz w:val="20"/>
              </w:rPr>
              <w:t>2.4.1.1.</w:t>
            </w:r>
          </w:p>
        </w:tc>
        <w:tc>
          <w:tcPr>
            <w:tcW w:w="3878" w:type="dxa"/>
            <w:tcBorders>
              <w:top w:val="nil"/>
              <w:left w:val="single" w:sz="4" w:space="0" w:color="000000"/>
              <w:bottom w:val="single" w:sz="4" w:space="0" w:color="000000"/>
              <w:right w:val="nil"/>
            </w:tcBorders>
            <w:vAlign w:val="center"/>
            <w:hideMark/>
          </w:tcPr>
          <w:p>
            <w:pPr>
              <w:shd w:val="clear" w:color="000000" w:fill="auto"/>
              <w:suppressAutoHyphens/>
              <w:snapToGrid w:val="0"/>
              <w:rPr>
                <w:rFonts w:cs="Calibri"/>
                <w:sz w:val="20"/>
                <w:lang w:eastAsia="ar-SA"/>
              </w:rPr>
            </w:pPr>
            <w:r>
              <w:rPr>
                <w:sz w:val="20"/>
              </w:rPr>
              <w:t xml:space="preserve">langų, pakeistų į mažesnio šilumos pralaidumo langus, skaičius </w:t>
            </w:r>
          </w:p>
        </w:tc>
        <w:tc>
          <w:tcPr>
            <w:tcW w:w="1024" w:type="dxa"/>
            <w:tcBorders>
              <w:top w:val="nil"/>
              <w:left w:val="single" w:sz="4" w:space="0" w:color="000000"/>
              <w:bottom w:val="single" w:sz="4" w:space="0" w:color="000000"/>
              <w:right w:val="nil"/>
            </w:tcBorders>
            <w:vAlign w:val="center"/>
            <w:hideMark/>
          </w:tcPr>
          <w:p>
            <w:pPr>
              <w:shd w:val="clear" w:color="000000" w:fill="auto"/>
              <w:suppressAutoHyphens/>
              <w:snapToGrid w:val="0"/>
              <w:jc w:val="center"/>
              <w:rPr>
                <w:rFonts w:cs="Calibri"/>
                <w:sz w:val="20"/>
                <w:lang w:eastAsia="ar-SA"/>
              </w:rPr>
            </w:pPr>
            <w:r>
              <w:rPr>
                <w:sz w:val="20"/>
              </w:rPr>
              <w:t>vnt.</w:t>
            </w:r>
          </w:p>
        </w:tc>
        <w:tc>
          <w:tcPr>
            <w:tcW w:w="1127" w:type="dxa"/>
            <w:tcBorders>
              <w:top w:val="nil"/>
              <w:left w:val="single" w:sz="4" w:space="0" w:color="000000"/>
              <w:bottom w:val="single" w:sz="4" w:space="0" w:color="000000"/>
              <w:right w:val="nil"/>
            </w:tcBorders>
            <w:vAlign w:val="center"/>
          </w:tcPr>
          <w:p>
            <w:pPr>
              <w:shd w:val="clear" w:color="000000" w:fill="auto"/>
              <w:suppressAutoHyphens/>
              <w:snapToGrid w:val="0"/>
              <w:rPr>
                <w:rFonts w:cs="Calibri"/>
                <w:sz w:val="20"/>
                <w:lang w:eastAsia="ar-SA"/>
              </w:rPr>
            </w:pPr>
          </w:p>
        </w:tc>
        <w:tc>
          <w:tcPr>
            <w:tcW w:w="2701" w:type="dxa"/>
            <w:tcBorders>
              <w:top w:val="nil"/>
              <w:left w:val="single" w:sz="4" w:space="0" w:color="000000"/>
              <w:bottom w:val="single" w:sz="4" w:space="0" w:color="000000"/>
              <w:right w:val="single" w:sz="4" w:space="0" w:color="000000"/>
            </w:tcBorders>
            <w:vAlign w:val="center"/>
          </w:tcPr>
          <w:p>
            <w:pPr>
              <w:shd w:val="clear" w:color="000000" w:fill="auto"/>
              <w:suppressAutoHyphens/>
              <w:snapToGrid w:val="0"/>
              <w:rPr>
                <w:rFonts w:cs="Calibri"/>
                <w:sz w:val="20"/>
                <w:lang w:eastAsia="ar-SA"/>
              </w:rPr>
            </w:pPr>
          </w:p>
        </w:tc>
      </w:tr>
      <w:tr>
        <w:trPr>
          <w:gridAfter w:val="1"/>
          <w:wAfter w:w="9" w:type="dxa"/>
        </w:trPr>
        <w:tc>
          <w:tcPr>
            <w:tcW w:w="948" w:type="dxa"/>
            <w:tcBorders>
              <w:top w:val="nil"/>
              <w:left w:val="single" w:sz="4" w:space="0" w:color="000000"/>
              <w:bottom w:val="single" w:sz="4" w:space="0" w:color="000000"/>
              <w:right w:val="nil"/>
            </w:tcBorders>
            <w:vAlign w:val="center"/>
            <w:hideMark/>
          </w:tcPr>
          <w:p>
            <w:pPr>
              <w:shd w:val="clear" w:color="000000" w:fill="auto"/>
              <w:suppressAutoHyphens/>
              <w:snapToGrid w:val="0"/>
              <w:rPr>
                <w:rFonts w:cs="Calibri"/>
                <w:sz w:val="20"/>
                <w:lang w:eastAsia="ar-SA"/>
              </w:rPr>
            </w:pPr>
            <w:r>
              <w:rPr>
                <w:sz w:val="20"/>
              </w:rPr>
              <w:t>2.4.2.</w:t>
            </w:r>
          </w:p>
        </w:tc>
        <w:tc>
          <w:tcPr>
            <w:tcW w:w="3878" w:type="dxa"/>
            <w:tcBorders>
              <w:top w:val="nil"/>
              <w:left w:val="single" w:sz="4" w:space="0" w:color="000000"/>
              <w:bottom w:val="single" w:sz="4" w:space="0" w:color="000000"/>
              <w:right w:val="nil"/>
            </w:tcBorders>
            <w:vAlign w:val="center"/>
            <w:hideMark/>
          </w:tcPr>
          <w:p>
            <w:pPr>
              <w:shd w:val="clear" w:color="000000" w:fill="auto"/>
              <w:suppressAutoHyphens/>
              <w:snapToGrid w:val="0"/>
              <w:rPr>
                <w:rFonts w:cs="Calibri"/>
                <w:sz w:val="20"/>
                <w:lang w:eastAsia="ar-SA"/>
              </w:rPr>
            </w:pPr>
            <w:r>
              <w:rPr>
                <w:sz w:val="20"/>
              </w:rPr>
              <w:t>langų plotas, iš jų:</w:t>
            </w:r>
          </w:p>
        </w:tc>
        <w:tc>
          <w:tcPr>
            <w:tcW w:w="1024" w:type="dxa"/>
            <w:tcBorders>
              <w:top w:val="nil"/>
              <w:left w:val="single" w:sz="4" w:space="0" w:color="000000"/>
              <w:bottom w:val="single" w:sz="4" w:space="0" w:color="000000"/>
              <w:right w:val="nil"/>
            </w:tcBorders>
            <w:vAlign w:val="center"/>
            <w:hideMark/>
          </w:tcPr>
          <w:p>
            <w:pPr>
              <w:shd w:val="clear" w:color="000000" w:fill="auto"/>
              <w:suppressAutoHyphens/>
              <w:snapToGrid w:val="0"/>
              <w:jc w:val="center"/>
              <w:rPr>
                <w:rFonts w:cs="Calibri"/>
                <w:sz w:val="20"/>
                <w:vertAlign w:val="superscript"/>
                <w:lang w:eastAsia="ar-SA"/>
              </w:rPr>
            </w:pPr>
            <w:r>
              <w:rPr>
                <w:sz w:val="20"/>
              </w:rPr>
              <w:t>m</w:t>
            </w:r>
            <w:r>
              <w:rPr>
                <w:sz w:val="20"/>
                <w:vertAlign w:val="superscript"/>
              </w:rPr>
              <w:t>2</w:t>
            </w:r>
          </w:p>
        </w:tc>
        <w:tc>
          <w:tcPr>
            <w:tcW w:w="1127" w:type="dxa"/>
            <w:tcBorders>
              <w:top w:val="nil"/>
              <w:left w:val="single" w:sz="4" w:space="0" w:color="000000"/>
              <w:bottom w:val="single" w:sz="4" w:space="0" w:color="000000"/>
              <w:right w:val="nil"/>
            </w:tcBorders>
            <w:vAlign w:val="center"/>
          </w:tcPr>
          <w:p>
            <w:pPr>
              <w:shd w:val="clear" w:color="000000" w:fill="auto"/>
              <w:suppressAutoHyphens/>
              <w:snapToGrid w:val="0"/>
              <w:rPr>
                <w:rFonts w:cs="Calibri"/>
                <w:sz w:val="20"/>
                <w:lang w:eastAsia="ar-SA"/>
              </w:rPr>
            </w:pPr>
          </w:p>
        </w:tc>
        <w:tc>
          <w:tcPr>
            <w:tcW w:w="2701" w:type="dxa"/>
            <w:tcBorders>
              <w:top w:val="nil"/>
              <w:left w:val="single" w:sz="4" w:space="0" w:color="000000"/>
              <w:bottom w:val="single" w:sz="4" w:space="0" w:color="000000"/>
              <w:right w:val="single" w:sz="4" w:space="0" w:color="000000"/>
            </w:tcBorders>
            <w:vAlign w:val="center"/>
          </w:tcPr>
          <w:p>
            <w:pPr>
              <w:shd w:val="clear" w:color="000000" w:fill="auto"/>
              <w:suppressAutoHyphens/>
              <w:snapToGrid w:val="0"/>
              <w:rPr>
                <w:rFonts w:cs="Calibri"/>
                <w:sz w:val="20"/>
                <w:lang w:eastAsia="ar-SA"/>
              </w:rPr>
            </w:pPr>
          </w:p>
        </w:tc>
      </w:tr>
      <w:tr>
        <w:trPr>
          <w:gridAfter w:val="1"/>
          <w:wAfter w:w="9" w:type="dxa"/>
        </w:trPr>
        <w:tc>
          <w:tcPr>
            <w:tcW w:w="948" w:type="dxa"/>
            <w:tcBorders>
              <w:top w:val="nil"/>
              <w:left w:val="single" w:sz="4" w:space="0" w:color="000000"/>
              <w:bottom w:val="single" w:sz="4" w:space="0" w:color="000000"/>
              <w:right w:val="nil"/>
            </w:tcBorders>
            <w:vAlign w:val="center"/>
            <w:hideMark/>
          </w:tcPr>
          <w:p>
            <w:pPr>
              <w:shd w:val="clear" w:color="000000" w:fill="auto"/>
              <w:suppressAutoHyphens/>
              <w:snapToGrid w:val="0"/>
              <w:rPr>
                <w:rFonts w:cs="Calibri"/>
                <w:sz w:val="20"/>
                <w:lang w:eastAsia="ar-SA"/>
              </w:rPr>
            </w:pPr>
            <w:r>
              <w:rPr>
                <w:sz w:val="20"/>
              </w:rPr>
              <w:t>2.4.2.1.</w:t>
            </w:r>
          </w:p>
        </w:tc>
        <w:tc>
          <w:tcPr>
            <w:tcW w:w="3878" w:type="dxa"/>
            <w:tcBorders>
              <w:top w:val="nil"/>
              <w:left w:val="single" w:sz="4" w:space="0" w:color="000000"/>
              <w:bottom w:val="single" w:sz="4" w:space="0" w:color="000000"/>
              <w:right w:val="nil"/>
            </w:tcBorders>
            <w:vAlign w:val="center"/>
            <w:hideMark/>
          </w:tcPr>
          <w:p>
            <w:pPr>
              <w:shd w:val="clear" w:color="000000" w:fill="auto"/>
              <w:suppressAutoHyphens/>
              <w:snapToGrid w:val="0"/>
              <w:rPr>
                <w:rFonts w:cs="Calibri"/>
                <w:sz w:val="20"/>
                <w:lang w:eastAsia="ar-SA"/>
              </w:rPr>
            </w:pPr>
            <w:r>
              <w:rPr>
                <w:sz w:val="20"/>
              </w:rPr>
              <w:t>Langų, pakeistų į mažesnio šilumos pralaidumo langus, plotas</w:t>
            </w:r>
          </w:p>
        </w:tc>
        <w:tc>
          <w:tcPr>
            <w:tcW w:w="1024" w:type="dxa"/>
            <w:tcBorders>
              <w:top w:val="nil"/>
              <w:left w:val="single" w:sz="4" w:space="0" w:color="000000"/>
              <w:bottom w:val="single" w:sz="4" w:space="0" w:color="000000"/>
              <w:right w:val="nil"/>
            </w:tcBorders>
            <w:vAlign w:val="center"/>
            <w:hideMark/>
          </w:tcPr>
          <w:p>
            <w:pPr>
              <w:shd w:val="clear" w:color="000000" w:fill="auto"/>
              <w:suppressAutoHyphens/>
              <w:snapToGrid w:val="0"/>
              <w:jc w:val="center"/>
              <w:rPr>
                <w:rFonts w:cs="Calibri"/>
                <w:sz w:val="20"/>
                <w:vertAlign w:val="superscript"/>
                <w:lang w:eastAsia="ar-SA"/>
              </w:rPr>
            </w:pPr>
            <w:r>
              <w:rPr>
                <w:sz w:val="20"/>
              </w:rPr>
              <w:t>m</w:t>
            </w:r>
            <w:r>
              <w:rPr>
                <w:sz w:val="20"/>
                <w:vertAlign w:val="superscript"/>
              </w:rPr>
              <w:t>2</w:t>
            </w:r>
          </w:p>
        </w:tc>
        <w:tc>
          <w:tcPr>
            <w:tcW w:w="1127" w:type="dxa"/>
            <w:tcBorders>
              <w:top w:val="nil"/>
              <w:left w:val="single" w:sz="4" w:space="0" w:color="000000"/>
              <w:bottom w:val="single" w:sz="4" w:space="0" w:color="000000"/>
              <w:right w:val="nil"/>
            </w:tcBorders>
            <w:vAlign w:val="center"/>
          </w:tcPr>
          <w:p>
            <w:pPr>
              <w:shd w:val="clear" w:color="000000" w:fill="auto"/>
              <w:suppressAutoHyphens/>
              <w:snapToGrid w:val="0"/>
              <w:rPr>
                <w:rFonts w:cs="Calibri"/>
                <w:sz w:val="20"/>
                <w:lang w:eastAsia="ar-SA"/>
              </w:rPr>
            </w:pPr>
          </w:p>
        </w:tc>
        <w:tc>
          <w:tcPr>
            <w:tcW w:w="2701" w:type="dxa"/>
            <w:tcBorders>
              <w:top w:val="nil"/>
              <w:left w:val="single" w:sz="4" w:space="0" w:color="000000"/>
              <w:bottom w:val="single" w:sz="4" w:space="0" w:color="000000"/>
              <w:right w:val="single" w:sz="4" w:space="0" w:color="000000"/>
            </w:tcBorders>
            <w:vAlign w:val="center"/>
          </w:tcPr>
          <w:p>
            <w:pPr>
              <w:shd w:val="clear" w:color="000000" w:fill="auto"/>
              <w:suppressAutoHyphens/>
              <w:snapToGrid w:val="0"/>
              <w:rPr>
                <w:rFonts w:cs="Calibri"/>
                <w:sz w:val="20"/>
                <w:lang w:eastAsia="ar-SA"/>
              </w:rPr>
            </w:pPr>
          </w:p>
        </w:tc>
      </w:tr>
      <w:tr>
        <w:trPr>
          <w:gridAfter w:val="1"/>
          <w:wAfter w:w="9" w:type="dxa"/>
        </w:trPr>
        <w:tc>
          <w:tcPr>
            <w:tcW w:w="948" w:type="dxa"/>
            <w:tcBorders>
              <w:top w:val="nil"/>
              <w:left w:val="single" w:sz="4" w:space="0" w:color="000000"/>
              <w:bottom w:val="single" w:sz="4" w:space="0" w:color="000000"/>
              <w:right w:val="nil"/>
            </w:tcBorders>
            <w:vAlign w:val="center"/>
            <w:hideMark/>
          </w:tcPr>
          <w:p>
            <w:pPr>
              <w:shd w:val="clear" w:color="000000" w:fill="auto"/>
              <w:suppressAutoHyphens/>
              <w:snapToGrid w:val="0"/>
              <w:rPr>
                <w:rFonts w:cs="Calibri"/>
                <w:sz w:val="20"/>
                <w:lang w:eastAsia="ar-SA"/>
              </w:rPr>
            </w:pPr>
            <w:r>
              <w:rPr>
                <w:sz w:val="20"/>
              </w:rPr>
              <w:t xml:space="preserve">2.4.3. </w:t>
            </w:r>
          </w:p>
        </w:tc>
        <w:tc>
          <w:tcPr>
            <w:tcW w:w="3878" w:type="dxa"/>
            <w:tcBorders>
              <w:top w:val="nil"/>
              <w:left w:val="single" w:sz="4" w:space="0" w:color="000000"/>
              <w:bottom w:val="single" w:sz="4" w:space="0" w:color="000000"/>
              <w:right w:val="nil"/>
            </w:tcBorders>
            <w:vAlign w:val="center"/>
            <w:hideMark/>
          </w:tcPr>
          <w:p>
            <w:pPr>
              <w:shd w:val="clear" w:color="000000" w:fill="auto"/>
              <w:suppressAutoHyphens/>
              <w:snapToGrid w:val="0"/>
              <w:rPr>
                <w:rFonts w:cs="Calibri"/>
                <w:sz w:val="20"/>
                <w:lang w:eastAsia="ar-SA"/>
              </w:rPr>
            </w:pPr>
            <w:r>
              <w:rPr>
                <w:sz w:val="20"/>
              </w:rPr>
              <w:t xml:space="preserve">balkonų (lodžijų) durų skaičius, iš jų: </w:t>
            </w:r>
          </w:p>
        </w:tc>
        <w:tc>
          <w:tcPr>
            <w:tcW w:w="1024" w:type="dxa"/>
            <w:tcBorders>
              <w:top w:val="nil"/>
              <w:left w:val="single" w:sz="4" w:space="0" w:color="000000"/>
              <w:bottom w:val="single" w:sz="4" w:space="0" w:color="000000"/>
              <w:right w:val="nil"/>
            </w:tcBorders>
            <w:vAlign w:val="center"/>
            <w:hideMark/>
          </w:tcPr>
          <w:p>
            <w:pPr>
              <w:shd w:val="clear" w:color="000000" w:fill="auto"/>
              <w:suppressAutoHyphens/>
              <w:snapToGrid w:val="0"/>
              <w:jc w:val="center"/>
              <w:rPr>
                <w:rFonts w:cs="Calibri"/>
                <w:sz w:val="20"/>
                <w:lang w:eastAsia="ar-SA"/>
              </w:rPr>
            </w:pPr>
            <w:r>
              <w:rPr>
                <w:sz w:val="20"/>
              </w:rPr>
              <w:t>vnt</w:t>
            </w:r>
          </w:p>
        </w:tc>
        <w:tc>
          <w:tcPr>
            <w:tcW w:w="1127" w:type="dxa"/>
            <w:tcBorders>
              <w:top w:val="nil"/>
              <w:left w:val="single" w:sz="4" w:space="0" w:color="000000"/>
              <w:bottom w:val="single" w:sz="4" w:space="0" w:color="000000"/>
              <w:right w:val="nil"/>
            </w:tcBorders>
            <w:vAlign w:val="center"/>
          </w:tcPr>
          <w:p>
            <w:pPr>
              <w:shd w:val="clear" w:color="000000" w:fill="auto"/>
              <w:suppressAutoHyphens/>
              <w:snapToGrid w:val="0"/>
              <w:rPr>
                <w:rFonts w:cs="Calibri"/>
                <w:sz w:val="20"/>
                <w:lang w:eastAsia="ar-SA"/>
              </w:rPr>
            </w:pPr>
          </w:p>
        </w:tc>
        <w:tc>
          <w:tcPr>
            <w:tcW w:w="2701" w:type="dxa"/>
            <w:tcBorders>
              <w:top w:val="nil"/>
              <w:left w:val="single" w:sz="4" w:space="0" w:color="000000"/>
              <w:bottom w:val="single" w:sz="4" w:space="0" w:color="000000"/>
              <w:right w:val="single" w:sz="4" w:space="0" w:color="000000"/>
            </w:tcBorders>
            <w:vAlign w:val="center"/>
          </w:tcPr>
          <w:p>
            <w:pPr>
              <w:shd w:val="clear" w:color="000000" w:fill="auto"/>
              <w:suppressAutoHyphens/>
              <w:snapToGrid w:val="0"/>
              <w:rPr>
                <w:rFonts w:cs="Calibri"/>
                <w:sz w:val="20"/>
                <w:lang w:eastAsia="ar-SA"/>
              </w:rPr>
            </w:pPr>
          </w:p>
        </w:tc>
      </w:tr>
      <w:tr>
        <w:trPr>
          <w:gridAfter w:val="1"/>
          <w:wAfter w:w="9" w:type="dxa"/>
        </w:trPr>
        <w:tc>
          <w:tcPr>
            <w:tcW w:w="948" w:type="dxa"/>
            <w:tcBorders>
              <w:top w:val="nil"/>
              <w:left w:val="single" w:sz="4" w:space="0" w:color="000000"/>
              <w:bottom w:val="single" w:sz="4" w:space="0" w:color="000000"/>
              <w:right w:val="nil"/>
            </w:tcBorders>
            <w:vAlign w:val="center"/>
            <w:hideMark/>
          </w:tcPr>
          <w:p>
            <w:pPr>
              <w:shd w:val="clear" w:color="000000" w:fill="auto"/>
              <w:suppressAutoHyphens/>
              <w:snapToGrid w:val="0"/>
              <w:rPr>
                <w:rFonts w:cs="Calibri"/>
                <w:sz w:val="20"/>
                <w:lang w:eastAsia="ar-SA"/>
              </w:rPr>
            </w:pPr>
            <w:r>
              <w:rPr>
                <w:sz w:val="20"/>
              </w:rPr>
              <w:t>2.4.3.1</w:t>
            </w:r>
          </w:p>
        </w:tc>
        <w:tc>
          <w:tcPr>
            <w:tcW w:w="3878" w:type="dxa"/>
            <w:tcBorders>
              <w:top w:val="nil"/>
              <w:left w:val="single" w:sz="4" w:space="0" w:color="000000"/>
              <w:bottom w:val="single" w:sz="4" w:space="0" w:color="000000"/>
              <w:right w:val="nil"/>
            </w:tcBorders>
            <w:vAlign w:val="center"/>
            <w:hideMark/>
          </w:tcPr>
          <w:p>
            <w:pPr>
              <w:shd w:val="clear" w:color="000000" w:fill="auto"/>
              <w:suppressAutoHyphens/>
              <w:snapToGrid w:val="0"/>
              <w:rPr>
                <w:rFonts w:cs="Calibri"/>
                <w:sz w:val="20"/>
                <w:lang w:eastAsia="ar-SA"/>
              </w:rPr>
            </w:pPr>
            <w:r>
              <w:rPr>
                <w:sz w:val="20"/>
              </w:rPr>
              <w:t xml:space="preserve">balkonų (lodžijų) durų, pakeistų į mažesnio šilumos pralaidumo duris,skaičius </w:t>
            </w:r>
          </w:p>
        </w:tc>
        <w:tc>
          <w:tcPr>
            <w:tcW w:w="1024" w:type="dxa"/>
            <w:tcBorders>
              <w:top w:val="nil"/>
              <w:left w:val="single" w:sz="4" w:space="0" w:color="000000"/>
              <w:bottom w:val="single" w:sz="4" w:space="0" w:color="000000"/>
              <w:right w:val="nil"/>
            </w:tcBorders>
            <w:vAlign w:val="center"/>
            <w:hideMark/>
          </w:tcPr>
          <w:p>
            <w:pPr>
              <w:shd w:val="clear" w:color="000000" w:fill="auto"/>
              <w:suppressAutoHyphens/>
              <w:snapToGrid w:val="0"/>
              <w:jc w:val="center"/>
              <w:rPr>
                <w:rFonts w:cs="Calibri"/>
                <w:sz w:val="20"/>
                <w:lang w:eastAsia="ar-SA"/>
              </w:rPr>
            </w:pPr>
            <w:r>
              <w:rPr>
                <w:sz w:val="20"/>
              </w:rPr>
              <w:t>vnt.</w:t>
            </w:r>
          </w:p>
        </w:tc>
        <w:tc>
          <w:tcPr>
            <w:tcW w:w="1127" w:type="dxa"/>
            <w:tcBorders>
              <w:top w:val="nil"/>
              <w:left w:val="single" w:sz="4" w:space="0" w:color="000000"/>
              <w:bottom w:val="single" w:sz="4" w:space="0" w:color="000000"/>
              <w:right w:val="nil"/>
            </w:tcBorders>
            <w:vAlign w:val="center"/>
          </w:tcPr>
          <w:p>
            <w:pPr>
              <w:shd w:val="clear" w:color="000000" w:fill="auto"/>
              <w:suppressAutoHyphens/>
              <w:snapToGrid w:val="0"/>
              <w:rPr>
                <w:rFonts w:cs="Calibri"/>
                <w:sz w:val="20"/>
                <w:lang w:eastAsia="ar-SA"/>
              </w:rPr>
            </w:pPr>
          </w:p>
        </w:tc>
        <w:tc>
          <w:tcPr>
            <w:tcW w:w="2701" w:type="dxa"/>
            <w:tcBorders>
              <w:top w:val="nil"/>
              <w:left w:val="single" w:sz="4" w:space="0" w:color="000000"/>
              <w:bottom w:val="single" w:sz="4" w:space="0" w:color="000000"/>
              <w:right w:val="single" w:sz="4" w:space="0" w:color="000000"/>
            </w:tcBorders>
            <w:vAlign w:val="center"/>
          </w:tcPr>
          <w:p>
            <w:pPr>
              <w:shd w:val="clear" w:color="000000" w:fill="auto"/>
              <w:suppressAutoHyphens/>
              <w:snapToGrid w:val="0"/>
              <w:rPr>
                <w:rFonts w:cs="Calibri"/>
                <w:sz w:val="20"/>
                <w:lang w:eastAsia="ar-SA"/>
              </w:rPr>
            </w:pPr>
          </w:p>
        </w:tc>
      </w:tr>
      <w:tr>
        <w:trPr>
          <w:gridAfter w:val="1"/>
          <w:wAfter w:w="9" w:type="dxa"/>
        </w:trPr>
        <w:tc>
          <w:tcPr>
            <w:tcW w:w="948" w:type="dxa"/>
            <w:tcBorders>
              <w:top w:val="nil"/>
              <w:left w:val="single" w:sz="4" w:space="0" w:color="000000"/>
              <w:bottom w:val="single" w:sz="4" w:space="0" w:color="000000"/>
              <w:right w:val="nil"/>
            </w:tcBorders>
            <w:vAlign w:val="center"/>
            <w:hideMark/>
          </w:tcPr>
          <w:p>
            <w:pPr>
              <w:shd w:val="clear" w:color="000000" w:fill="auto"/>
              <w:suppressAutoHyphens/>
              <w:snapToGrid w:val="0"/>
              <w:rPr>
                <w:rFonts w:cs="Calibri"/>
                <w:sz w:val="20"/>
                <w:lang w:eastAsia="ar-SA"/>
              </w:rPr>
            </w:pPr>
            <w:r>
              <w:rPr>
                <w:sz w:val="20"/>
              </w:rPr>
              <w:t>2.4.4.</w:t>
            </w:r>
          </w:p>
        </w:tc>
        <w:tc>
          <w:tcPr>
            <w:tcW w:w="3878" w:type="dxa"/>
            <w:tcBorders>
              <w:top w:val="nil"/>
              <w:left w:val="single" w:sz="4" w:space="0" w:color="000000"/>
              <w:bottom w:val="single" w:sz="4" w:space="0" w:color="000000"/>
              <w:right w:val="nil"/>
            </w:tcBorders>
            <w:vAlign w:val="center"/>
            <w:hideMark/>
          </w:tcPr>
          <w:p>
            <w:pPr>
              <w:shd w:val="clear" w:color="000000" w:fill="auto"/>
              <w:suppressAutoHyphens/>
              <w:snapToGrid w:val="0"/>
              <w:rPr>
                <w:rFonts w:cs="Calibri"/>
                <w:sz w:val="20"/>
                <w:lang w:eastAsia="ar-SA"/>
              </w:rPr>
            </w:pPr>
            <w:r>
              <w:rPr>
                <w:sz w:val="20"/>
              </w:rPr>
              <w:t>balkonų (lodžijų) durų plotas, iš jų:</w:t>
            </w:r>
          </w:p>
        </w:tc>
        <w:tc>
          <w:tcPr>
            <w:tcW w:w="1024" w:type="dxa"/>
            <w:tcBorders>
              <w:top w:val="nil"/>
              <w:left w:val="single" w:sz="4" w:space="0" w:color="000000"/>
              <w:bottom w:val="single" w:sz="4" w:space="0" w:color="000000"/>
              <w:right w:val="nil"/>
            </w:tcBorders>
            <w:vAlign w:val="center"/>
            <w:hideMark/>
          </w:tcPr>
          <w:p>
            <w:pPr>
              <w:shd w:val="clear" w:color="000000" w:fill="auto"/>
              <w:suppressAutoHyphens/>
              <w:snapToGrid w:val="0"/>
              <w:jc w:val="center"/>
              <w:rPr>
                <w:rFonts w:cs="Calibri"/>
                <w:sz w:val="20"/>
                <w:vertAlign w:val="superscript"/>
                <w:lang w:eastAsia="ar-SA"/>
              </w:rPr>
            </w:pPr>
            <w:r>
              <w:rPr>
                <w:sz w:val="20"/>
              </w:rPr>
              <w:t>m</w:t>
            </w:r>
            <w:r>
              <w:rPr>
                <w:sz w:val="20"/>
                <w:vertAlign w:val="superscript"/>
              </w:rPr>
              <w:t>2</w:t>
            </w:r>
          </w:p>
        </w:tc>
        <w:tc>
          <w:tcPr>
            <w:tcW w:w="1127" w:type="dxa"/>
            <w:tcBorders>
              <w:top w:val="nil"/>
              <w:left w:val="single" w:sz="4" w:space="0" w:color="000000"/>
              <w:bottom w:val="single" w:sz="4" w:space="0" w:color="000000"/>
              <w:right w:val="nil"/>
            </w:tcBorders>
            <w:vAlign w:val="center"/>
          </w:tcPr>
          <w:p>
            <w:pPr>
              <w:shd w:val="clear" w:color="000000" w:fill="auto"/>
              <w:suppressAutoHyphens/>
              <w:snapToGrid w:val="0"/>
              <w:rPr>
                <w:rFonts w:cs="Calibri"/>
                <w:sz w:val="20"/>
                <w:lang w:eastAsia="ar-SA"/>
              </w:rPr>
            </w:pPr>
          </w:p>
        </w:tc>
        <w:tc>
          <w:tcPr>
            <w:tcW w:w="2701" w:type="dxa"/>
            <w:tcBorders>
              <w:top w:val="nil"/>
              <w:left w:val="single" w:sz="4" w:space="0" w:color="000000"/>
              <w:bottom w:val="single" w:sz="4" w:space="0" w:color="000000"/>
              <w:right w:val="single" w:sz="4" w:space="0" w:color="000000"/>
            </w:tcBorders>
            <w:vAlign w:val="center"/>
          </w:tcPr>
          <w:p>
            <w:pPr>
              <w:shd w:val="clear" w:color="000000" w:fill="auto"/>
              <w:suppressAutoHyphens/>
              <w:snapToGrid w:val="0"/>
              <w:rPr>
                <w:rFonts w:cs="Calibri"/>
                <w:sz w:val="20"/>
                <w:lang w:eastAsia="ar-SA"/>
              </w:rPr>
            </w:pPr>
          </w:p>
        </w:tc>
      </w:tr>
      <w:tr>
        <w:trPr>
          <w:gridAfter w:val="1"/>
          <w:wAfter w:w="9" w:type="dxa"/>
        </w:trPr>
        <w:tc>
          <w:tcPr>
            <w:tcW w:w="948" w:type="dxa"/>
            <w:tcBorders>
              <w:top w:val="nil"/>
              <w:left w:val="single" w:sz="4" w:space="0" w:color="000000"/>
              <w:bottom w:val="single" w:sz="4" w:space="0" w:color="000000"/>
              <w:right w:val="nil"/>
            </w:tcBorders>
            <w:vAlign w:val="center"/>
            <w:hideMark/>
          </w:tcPr>
          <w:p>
            <w:pPr>
              <w:shd w:val="clear" w:color="000000" w:fill="auto"/>
              <w:suppressAutoHyphens/>
              <w:snapToGrid w:val="0"/>
              <w:rPr>
                <w:rFonts w:cs="Calibri"/>
                <w:sz w:val="20"/>
                <w:lang w:eastAsia="ar-SA"/>
              </w:rPr>
            </w:pPr>
            <w:r>
              <w:rPr>
                <w:sz w:val="20"/>
              </w:rPr>
              <w:t xml:space="preserve">2.4.4.1. </w:t>
            </w:r>
          </w:p>
        </w:tc>
        <w:tc>
          <w:tcPr>
            <w:tcW w:w="3878" w:type="dxa"/>
            <w:tcBorders>
              <w:top w:val="nil"/>
              <w:left w:val="single" w:sz="4" w:space="0" w:color="000000"/>
              <w:bottom w:val="single" w:sz="4" w:space="0" w:color="000000"/>
              <w:right w:val="nil"/>
            </w:tcBorders>
            <w:vAlign w:val="center"/>
            <w:hideMark/>
          </w:tcPr>
          <w:p>
            <w:pPr>
              <w:shd w:val="clear" w:color="000000" w:fill="auto"/>
              <w:suppressAutoHyphens/>
              <w:snapToGrid w:val="0"/>
              <w:ind w:firstLine="50"/>
              <w:rPr>
                <w:rFonts w:cs="Calibri"/>
                <w:sz w:val="20"/>
                <w:lang w:eastAsia="ar-SA"/>
              </w:rPr>
            </w:pPr>
            <w:r>
              <w:rPr>
                <w:sz w:val="20"/>
              </w:rPr>
              <w:t>balkonų (lodžijų) durų, pakeistų į mažesnio šilumos pralaidumo duris, plotas</w:t>
            </w:r>
          </w:p>
        </w:tc>
        <w:tc>
          <w:tcPr>
            <w:tcW w:w="1024" w:type="dxa"/>
            <w:tcBorders>
              <w:top w:val="nil"/>
              <w:left w:val="single" w:sz="4" w:space="0" w:color="000000"/>
              <w:bottom w:val="single" w:sz="4" w:space="0" w:color="000000"/>
              <w:right w:val="nil"/>
            </w:tcBorders>
            <w:vAlign w:val="center"/>
            <w:hideMark/>
          </w:tcPr>
          <w:p>
            <w:pPr>
              <w:shd w:val="clear" w:color="000000" w:fill="auto"/>
              <w:suppressAutoHyphens/>
              <w:snapToGrid w:val="0"/>
              <w:jc w:val="center"/>
              <w:rPr>
                <w:rFonts w:cs="Calibri"/>
                <w:sz w:val="20"/>
                <w:lang w:eastAsia="ar-SA"/>
              </w:rPr>
            </w:pPr>
            <w:r>
              <w:rPr>
                <w:sz w:val="20"/>
              </w:rPr>
              <w:t>m</w:t>
            </w:r>
            <w:r>
              <w:rPr>
                <w:sz w:val="20"/>
                <w:vertAlign w:val="superscript"/>
              </w:rPr>
              <w:t>2</w:t>
            </w:r>
          </w:p>
        </w:tc>
        <w:tc>
          <w:tcPr>
            <w:tcW w:w="1127" w:type="dxa"/>
            <w:tcBorders>
              <w:top w:val="nil"/>
              <w:left w:val="single" w:sz="4" w:space="0" w:color="000000"/>
              <w:bottom w:val="single" w:sz="4" w:space="0" w:color="000000"/>
              <w:right w:val="nil"/>
            </w:tcBorders>
            <w:vAlign w:val="center"/>
          </w:tcPr>
          <w:p>
            <w:pPr>
              <w:shd w:val="clear" w:color="000000" w:fill="auto"/>
              <w:suppressAutoHyphens/>
              <w:snapToGrid w:val="0"/>
              <w:rPr>
                <w:rFonts w:cs="Calibri"/>
                <w:sz w:val="20"/>
                <w:lang w:eastAsia="ar-SA"/>
              </w:rPr>
            </w:pPr>
          </w:p>
        </w:tc>
        <w:tc>
          <w:tcPr>
            <w:tcW w:w="2701" w:type="dxa"/>
            <w:tcBorders>
              <w:top w:val="nil"/>
              <w:left w:val="single" w:sz="4" w:space="0" w:color="000000"/>
              <w:bottom w:val="single" w:sz="4" w:space="0" w:color="000000"/>
              <w:right w:val="single" w:sz="4" w:space="0" w:color="000000"/>
            </w:tcBorders>
            <w:vAlign w:val="center"/>
          </w:tcPr>
          <w:p>
            <w:pPr>
              <w:shd w:val="clear" w:color="000000" w:fill="auto"/>
              <w:suppressAutoHyphens/>
              <w:snapToGrid w:val="0"/>
              <w:rPr>
                <w:rFonts w:cs="Calibri"/>
                <w:sz w:val="20"/>
                <w:lang w:eastAsia="ar-SA"/>
              </w:rPr>
            </w:pPr>
          </w:p>
        </w:tc>
      </w:tr>
      <w:tr>
        <w:trPr>
          <w:gridAfter w:val="1"/>
          <w:wAfter w:w="9" w:type="dxa"/>
        </w:trPr>
        <w:tc>
          <w:tcPr>
            <w:tcW w:w="948" w:type="dxa"/>
            <w:tcBorders>
              <w:top w:val="nil"/>
              <w:left w:val="single" w:sz="4" w:space="0" w:color="000000"/>
              <w:bottom w:val="single" w:sz="4" w:space="0" w:color="000000"/>
              <w:right w:val="nil"/>
            </w:tcBorders>
            <w:shd w:val="clear" w:color="auto" w:fill="A6A6A6"/>
            <w:vAlign w:val="center"/>
            <w:hideMark/>
          </w:tcPr>
          <w:p>
            <w:pPr>
              <w:shd w:val="clear" w:color="000000" w:fill="auto"/>
              <w:suppressAutoHyphens/>
              <w:snapToGrid w:val="0"/>
              <w:rPr>
                <w:rFonts w:cs="Calibri"/>
                <w:b/>
                <w:sz w:val="20"/>
                <w:lang w:eastAsia="ar-SA"/>
              </w:rPr>
            </w:pPr>
            <w:r>
              <w:rPr>
                <w:b/>
                <w:sz w:val="20"/>
              </w:rPr>
              <w:t>2.5.</w:t>
            </w:r>
          </w:p>
        </w:tc>
        <w:tc>
          <w:tcPr>
            <w:tcW w:w="3878" w:type="dxa"/>
            <w:tcBorders>
              <w:top w:val="nil"/>
              <w:left w:val="single" w:sz="4" w:space="0" w:color="000000"/>
              <w:bottom w:val="single" w:sz="4" w:space="0" w:color="000000"/>
              <w:right w:val="nil"/>
            </w:tcBorders>
            <w:shd w:val="clear" w:color="auto" w:fill="A6A6A6"/>
            <w:vAlign w:val="center"/>
            <w:hideMark/>
          </w:tcPr>
          <w:p>
            <w:pPr>
              <w:shd w:val="clear" w:color="000000" w:fill="auto"/>
              <w:suppressAutoHyphens/>
              <w:snapToGrid w:val="0"/>
              <w:rPr>
                <w:rFonts w:cs="Calibri"/>
                <w:sz w:val="20"/>
                <w:lang w:eastAsia="ar-SA"/>
              </w:rPr>
            </w:pPr>
            <w:r>
              <w:rPr>
                <w:b/>
                <w:sz w:val="20"/>
              </w:rPr>
              <w:t>bendrojo naudojimo patalpų (laiptinių, rūsių, šilumos punktų ir kitų) langai ir lauko durys</w:t>
            </w:r>
            <w:r>
              <w:rPr>
                <w:sz w:val="20"/>
              </w:rPr>
              <w:t>,:</w:t>
            </w:r>
          </w:p>
        </w:tc>
        <w:tc>
          <w:tcPr>
            <w:tcW w:w="1024" w:type="dxa"/>
            <w:tcBorders>
              <w:top w:val="nil"/>
              <w:left w:val="single" w:sz="4" w:space="0" w:color="000000"/>
              <w:bottom w:val="single" w:sz="4" w:space="0" w:color="000000"/>
              <w:right w:val="nil"/>
            </w:tcBorders>
            <w:shd w:val="clear" w:color="auto" w:fill="A6A6A6"/>
            <w:vAlign w:val="center"/>
          </w:tcPr>
          <w:p>
            <w:pPr>
              <w:shd w:val="clear" w:color="000000" w:fill="auto"/>
              <w:suppressAutoHyphens/>
              <w:snapToGrid w:val="0"/>
              <w:jc w:val="center"/>
              <w:rPr>
                <w:rFonts w:cs="Calibri"/>
                <w:sz w:val="20"/>
                <w:lang w:eastAsia="ar-SA"/>
              </w:rPr>
            </w:pPr>
          </w:p>
        </w:tc>
        <w:tc>
          <w:tcPr>
            <w:tcW w:w="1127" w:type="dxa"/>
            <w:tcBorders>
              <w:top w:val="nil"/>
              <w:left w:val="single" w:sz="4" w:space="0" w:color="000000"/>
              <w:bottom w:val="single" w:sz="4" w:space="0" w:color="000000"/>
              <w:right w:val="nil"/>
            </w:tcBorders>
            <w:shd w:val="clear" w:color="auto" w:fill="A6A6A6"/>
            <w:vAlign w:val="center"/>
          </w:tcPr>
          <w:p>
            <w:pPr>
              <w:shd w:val="clear" w:color="000000" w:fill="auto"/>
              <w:suppressAutoHyphens/>
              <w:snapToGrid w:val="0"/>
              <w:rPr>
                <w:rFonts w:cs="Calibri"/>
                <w:sz w:val="20"/>
                <w:lang w:eastAsia="ar-SA"/>
              </w:rPr>
            </w:pPr>
          </w:p>
        </w:tc>
        <w:tc>
          <w:tcPr>
            <w:tcW w:w="2701" w:type="dxa"/>
            <w:tcBorders>
              <w:top w:val="nil"/>
              <w:left w:val="single" w:sz="4" w:space="0" w:color="000000"/>
              <w:bottom w:val="single" w:sz="4" w:space="0" w:color="000000"/>
              <w:right w:val="single" w:sz="4" w:space="0" w:color="000000"/>
            </w:tcBorders>
            <w:shd w:val="clear" w:color="auto" w:fill="A6A6A6"/>
            <w:vAlign w:val="center"/>
          </w:tcPr>
          <w:p>
            <w:pPr>
              <w:shd w:val="clear" w:color="000000" w:fill="auto"/>
              <w:suppressAutoHyphens/>
              <w:snapToGrid w:val="0"/>
              <w:rPr>
                <w:rFonts w:cs="Calibri"/>
                <w:sz w:val="20"/>
                <w:lang w:eastAsia="ar-SA"/>
              </w:rPr>
            </w:pPr>
          </w:p>
        </w:tc>
      </w:tr>
      <w:tr>
        <w:trPr>
          <w:gridAfter w:val="1"/>
          <w:wAfter w:w="9" w:type="dxa"/>
        </w:trPr>
        <w:tc>
          <w:tcPr>
            <w:tcW w:w="948" w:type="dxa"/>
            <w:tcBorders>
              <w:top w:val="nil"/>
              <w:left w:val="single" w:sz="4" w:space="0" w:color="000000"/>
              <w:bottom w:val="single" w:sz="4" w:space="0" w:color="000000"/>
              <w:right w:val="nil"/>
            </w:tcBorders>
            <w:vAlign w:val="center"/>
            <w:hideMark/>
          </w:tcPr>
          <w:p>
            <w:pPr>
              <w:shd w:val="clear" w:color="000000" w:fill="auto"/>
              <w:suppressAutoHyphens/>
              <w:snapToGrid w:val="0"/>
              <w:rPr>
                <w:rFonts w:cs="Calibri"/>
                <w:sz w:val="20"/>
                <w:lang w:eastAsia="ar-SA"/>
              </w:rPr>
            </w:pPr>
            <w:r>
              <w:rPr>
                <w:sz w:val="20"/>
              </w:rPr>
              <w:t>2.5.1.</w:t>
            </w:r>
          </w:p>
        </w:tc>
        <w:tc>
          <w:tcPr>
            <w:tcW w:w="3878" w:type="dxa"/>
            <w:tcBorders>
              <w:top w:val="nil"/>
              <w:left w:val="single" w:sz="4" w:space="0" w:color="000000"/>
              <w:bottom w:val="single" w:sz="4" w:space="0" w:color="000000"/>
              <w:right w:val="nil"/>
            </w:tcBorders>
            <w:vAlign w:val="center"/>
            <w:hideMark/>
          </w:tcPr>
          <w:p>
            <w:pPr>
              <w:shd w:val="clear" w:color="000000" w:fill="auto"/>
              <w:suppressAutoHyphens/>
              <w:snapToGrid w:val="0"/>
              <w:rPr>
                <w:rFonts w:cs="Calibri"/>
                <w:sz w:val="20"/>
                <w:lang w:eastAsia="ar-SA"/>
              </w:rPr>
            </w:pPr>
            <w:r>
              <w:rPr>
                <w:sz w:val="20"/>
              </w:rPr>
              <w:t>langų skaičius, iš jų</w:t>
            </w:r>
          </w:p>
        </w:tc>
        <w:tc>
          <w:tcPr>
            <w:tcW w:w="1024" w:type="dxa"/>
            <w:tcBorders>
              <w:top w:val="nil"/>
              <w:left w:val="single" w:sz="4" w:space="0" w:color="000000"/>
              <w:bottom w:val="single" w:sz="4" w:space="0" w:color="000000"/>
              <w:right w:val="nil"/>
            </w:tcBorders>
            <w:vAlign w:val="center"/>
            <w:hideMark/>
          </w:tcPr>
          <w:p>
            <w:pPr>
              <w:shd w:val="clear" w:color="000000" w:fill="auto"/>
              <w:suppressAutoHyphens/>
              <w:snapToGrid w:val="0"/>
              <w:jc w:val="center"/>
              <w:rPr>
                <w:rFonts w:cs="Calibri"/>
                <w:sz w:val="20"/>
                <w:lang w:eastAsia="ar-SA"/>
              </w:rPr>
            </w:pPr>
            <w:r>
              <w:rPr>
                <w:sz w:val="20"/>
              </w:rPr>
              <w:t>vnt.</w:t>
            </w:r>
          </w:p>
        </w:tc>
        <w:tc>
          <w:tcPr>
            <w:tcW w:w="1127" w:type="dxa"/>
            <w:tcBorders>
              <w:top w:val="nil"/>
              <w:left w:val="single" w:sz="4" w:space="0" w:color="000000"/>
              <w:bottom w:val="single" w:sz="4" w:space="0" w:color="000000"/>
              <w:right w:val="nil"/>
            </w:tcBorders>
            <w:vAlign w:val="center"/>
          </w:tcPr>
          <w:p>
            <w:pPr>
              <w:shd w:val="clear" w:color="000000" w:fill="auto"/>
              <w:suppressAutoHyphens/>
              <w:snapToGrid w:val="0"/>
              <w:rPr>
                <w:rFonts w:cs="Calibri"/>
                <w:sz w:val="20"/>
                <w:lang w:eastAsia="ar-SA"/>
              </w:rPr>
            </w:pPr>
          </w:p>
        </w:tc>
        <w:tc>
          <w:tcPr>
            <w:tcW w:w="2701" w:type="dxa"/>
            <w:tcBorders>
              <w:top w:val="nil"/>
              <w:left w:val="single" w:sz="4" w:space="0" w:color="000000"/>
              <w:bottom w:val="single" w:sz="4" w:space="0" w:color="000000"/>
              <w:right w:val="single" w:sz="4" w:space="0" w:color="000000"/>
            </w:tcBorders>
            <w:vAlign w:val="center"/>
          </w:tcPr>
          <w:p>
            <w:pPr>
              <w:shd w:val="clear" w:color="000000" w:fill="auto"/>
              <w:suppressAutoHyphens/>
              <w:snapToGrid w:val="0"/>
              <w:rPr>
                <w:rFonts w:cs="Calibri"/>
                <w:sz w:val="20"/>
                <w:lang w:eastAsia="ar-SA"/>
              </w:rPr>
            </w:pPr>
          </w:p>
        </w:tc>
      </w:tr>
      <w:tr>
        <w:trPr>
          <w:gridAfter w:val="1"/>
          <w:wAfter w:w="9" w:type="dxa"/>
        </w:trPr>
        <w:tc>
          <w:tcPr>
            <w:tcW w:w="948" w:type="dxa"/>
            <w:tcBorders>
              <w:top w:val="nil"/>
              <w:left w:val="single" w:sz="4" w:space="0" w:color="000000"/>
              <w:bottom w:val="single" w:sz="4" w:space="0" w:color="000000"/>
              <w:right w:val="nil"/>
            </w:tcBorders>
            <w:vAlign w:val="center"/>
            <w:hideMark/>
          </w:tcPr>
          <w:p>
            <w:pPr>
              <w:shd w:val="clear" w:color="000000" w:fill="auto"/>
              <w:suppressAutoHyphens/>
              <w:snapToGrid w:val="0"/>
              <w:rPr>
                <w:rFonts w:cs="Calibri"/>
                <w:sz w:val="20"/>
                <w:lang w:eastAsia="ar-SA"/>
              </w:rPr>
            </w:pPr>
            <w:r>
              <w:rPr>
                <w:sz w:val="20"/>
              </w:rPr>
              <w:t>2.5.1.1.</w:t>
            </w:r>
          </w:p>
        </w:tc>
        <w:tc>
          <w:tcPr>
            <w:tcW w:w="3878" w:type="dxa"/>
            <w:tcBorders>
              <w:top w:val="nil"/>
              <w:left w:val="single" w:sz="4" w:space="0" w:color="000000"/>
              <w:bottom w:val="single" w:sz="4" w:space="0" w:color="000000"/>
              <w:right w:val="nil"/>
            </w:tcBorders>
            <w:vAlign w:val="center"/>
            <w:hideMark/>
          </w:tcPr>
          <w:p>
            <w:pPr>
              <w:shd w:val="clear" w:color="000000" w:fill="auto"/>
              <w:suppressAutoHyphens/>
              <w:snapToGrid w:val="0"/>
              <w:rPr>
                <w:rFonts w:cs="Calibri"/>
                <w:sz w:val="20"/>
                <w:lang w:eastAsia="ar-SA"/>
              </w:rPr>
            </w:pPr>
            <w:r>
              <w:rPr>
                <w:sz w:val="20"/>
              </w:rPr>
              <w:t>langų, pakeistų į mažesnio šilumos laidumo langus, skaičius</w:t>
            </w:r>
          </w:p>
        </w:tc>
        <w:tc>
          <w:tcPr>
            <w:tcW w:w="1024" w:type="dxa"/>
            <w:tcBorders>
              <w:top w:val="nil"/>
              <w:left w:val="single" w:sz="4" w:space="0" w:color="000000"/>
              <w:bottom w:val="single" w:sz="4" w:space="0" w:color="000000"/>
              <w:right w:val="nil"/>
            </w:tcBorders>
            <w:vAlign w:val="center"/>
            <w:hideMark/>
          </w:tcPr>
          <w:p>
            <w:pPr>
              <w:shd w:val="clear" w:color="000000" w:fill="auto"/>
              <w:suppressAutoHyphens/>
              <w:snapToGrid w:val="0"/>
              <w:jc w:val="center"/>
              <w:rPr>
                <w:rFonts w:cs="Calibri"/>
                <w:sz w:val="20"/>
                <w:lang w:eastAsia="ar-SA"/>
              </w:rPr>
            </w:pPr>
            <w:r>
              <w:rPr>
                <w:sz w:val="20"/>
              </w:rPr>
              <w:t>vnt</w:t>
            </w:r>
          </w:p>
        </w:tc>
        <w:tc>
          <w:tcPr>
            <w:tcW w:w="1127" w:type="dxa"/>
            <w:tcBorders>
              <w:top w:val="nil"/>
              <w:left w:val="single" w:sz="4" w:space="0" w:color="000000"/>
              <w:bottom w:val="single" w:sz="4" w:space="0" w:color="000000"/>
              <w:right w:val="nil"/>
            </w:tcBorders>
            <w:vAlign w:val="center"/>
          </w:tcPr>
          <w:p>
            <w:pPr>
              <w:shd w:val="clear" w:color="000000" w:fill="auto"/>
              <w:suppressAutoHyphens/>
              <w:snapToGrid w:val="0"/>
              <w:rPr>
                <w:rFonts w:cs="Calibri"/>
                <w:sz w:val="20"/>
                <w:lang w:eastAsia="ar-SA"/>
              </w:rPr>
            </w:pPr>
          </w:p>
        </w:tc>
        <w:tc>
          <w:tcPr>
            <w:tcW w:w="2701" w:type="dxa"/>
            <w:tcBorders>
              <w:top w:val="nil"/>
              <w:left w:val="single" w:sz="4" w:space="0" w:color="000000"/>
              <w:bottom w:val="single" w:sz="4" w:space="0" w:color="000000"/>
              <w:right w:val="single" w:sz="4" w:space="0" w:color="000000"/>
            </w:tcBorders>
            <w:vAlign w:val="center"/>
          </w:tcPr>
          <w:p>
            <w:pPr>
              <w:shd w:val="clear" w:color="000000" w:fill="auto"/>
              <w:suppressAutoHyphens/>
              <w:snapToGrid w:val="0"/>
              <w:rPr>
                <w:rFonts w:cs="Calibri"/>
                <w:sz w:val="20"/>
                <w:lang w:eastAsia="ar-SA"/>
              </w:rPr>
            </w:pPr>
          </w:p>
        </w:tc>
      </w:tr>
      <w:tr>
        <w:trPr>
          <w:gridAfter w:val="1"/>
          <w:wAfter w:w="9" w:type="dxa"/>
        </w:trPr>
        <w:tc>
          <w:tcPr>
            <w:tcW w:w="948" w:type="dxa"/>
            <w:tcBorders>
              <w:top w:val="nil"/>
              <w:left w:val="single" w:sz="4" w:space="0" w:color="000000"/>
              <w:bottom w:val="single" w:sz="4" w:space="0" w:color="000000"/>
              <w:right w:val="nil"/>
            </w:tcBorders>
            <w:vAlign w:val="center"/>
            <w:hideMark/>
          </w:tcPr>
          <w:p>
            <w:pPr>
              <w:shd w:val="clear" w:color="000000" w:fill="auto"/>
              <w:suppressAutoHyphens/>
              <w:snapToGrid w:val="0"/>
              <w:rPr>
                <w:rFonts w:cs="Calibri"/>
                <w:sz w:val="20"/>
                <w:lang w:eastAsia="ar-SA"/>
              </w:rPr>
            </w:pPr>
            <w:r>
              <w:rPr>
                <w:sz w:val="20"/>
              </w:rPr>
              <w:t>2.5.2</w:t>
            </w:r>
          </w:p>
        </w:tc>
        <w:tc>
          <w:tcPr>
            <w:tcW w:w="3878" w:type="dxa"/>
            <w:tcBorders>
              <w:top w:val="nil"/>
              <w:left w:val="single" w:sz="4" w:space="0" w:color="000000"/>
              <w:bottom w:val="single" w:sz="4" w:space="0" w:color="000000"/>
              <w:right w:val="nil"/>
            </w:tcBorders>
            <w:vAlign w:val="center"/>
            <w:hideMark/>
          </w:tcPr>
          <w:p>
            <w:pPr>
              <w:shd w:val="clear" w:color="000000" w:fill="auto"/>
              <w:suppressAutoHyphens/>
              <w:snapToGrid w:val="0"/>
              <w:rPr>
                <w:rFonts w:cs="Calibri"/>
                <w:sz w:val="20"/>
                <w:lang w:eastAsia="ar-SA"/>
              </w:rPr>
            </w:pPr>
            <w:r>
              <w:rPr>
                <w:sz w:val="20"/>
              </w:rPr>
              <w:t>langų plotas, iš jų:</w:t>
            </w:r>
          </w:p>
        </w:tc>
        <w:tc>
          <w:tcPr>
            <w:tcW w:w="1024" w:type="dxa"/>
            <w:tcBorders>
              <w:top w:val="nil"/>
              <w:left w:val="single" w:sz="4" w:space="0" w:color="000000"/>
              <w:bottom w:val="single" w:sz="4" w:space="0" w:color="000000"/>
              <w:right w:val="nil"/>
            </w:tcBorders>
            <w:vAlign w:val="center"/>
            <w:hideMark/>
          </w:tcPr>
          <w:p>
            <w:pPr>
              <w:shd w:val="clear" w:color="000000" w:fill="auto"/>
              <w:suppressAutoHyphens/>
              <w:snapToGrid w:val="0"/>
              <w:jc w:val="center"/>
              <w:rPr>
                <w:rFonts w:cs="Calibri"/>
                <w:sz w:val="20"/>
                <w:vertAlign w:val="superscript"/>
                <w:lang w:eastAsia="ar-SA"/>
              </w:rPr>
            </w:pPr>
            <w:r>
              <w:rPr>
                <w:sz w:val="20"/>
              </w:rPr>
              <w:t>m</w:t>
            </w:r>
            <w:r>
              <w:rPr>
                <w:sz w:val="20"/>
                <w:vertAlign w:val="superscript"/>
              </w:rPr>
              <w:t>2</w:t>
            </w:r>
          </w:p>
        </w:tc>
        <w:tc>
          <w:tcPr>
            <w:tcW w:w="1127" w:type="dxa"/>
            <w:tcBorders>
              <w:top w:val="nil"/>
              <w:left w:val="single" w:sz="4" w:space="0" w:color="000000"/>
              <w:bottom w:val="single" w:sz="4" w:space="0" w:color="000000"/>
              <w:right w:val="nil"/>
            </w:tcBorders>
            <w:vAlign w:val="center"/>
          </w:tcPr>
          <w:p>
            <w:pPr>
              <w:shd w:val="clear" w:color="000000" w:fill="auto"/>
              <w:suppressAutoHyphens/>
              <w:snapToGrid w:val="0"/>
              <w:rPr>
                <w:rFonts w:cs="Calibri"/>
                <w:sz w:val="20"/>
                <w:lang w:eastAsia="ar-SA"/>
              </w:rPr>
            </w:pPr>
          </w:p>
        </w:tc>
        <w:tc>
          <w:tcPr>
            <w:tcW w:w="2701" w:type="dxa"/>
            <w:tcBorders>
              <w:top w:val="nil"/>
              <w:left w:val="single" w:sz="4" w:space="0" w:color="000000"/>
              <w:bottom w:val="single" w:sz="4" w:space="0" w:color="000000"/>
              <w:right w:val="single" w:sz="4" w:space="0" w:color="000000"/>
            </w:tcBorders>
            <w:vAlign w:val="center"/>
          </w:tcPr>
          <w:p>
            <w:pPr>
              <w:shd w:val="clear" w:color="000000" w:fill="auto"/>
              <w:suppressAutoHyphens/>
              <w:snapToGrid w:val="0"/>
              <w:rPr>
                <w:rFonts w:cs="Calibri"/>
                <w:sz w:val="20"/>
                <w:lang w:eastAsia="ar-SA"/>
              </w:rPr>
            </w:pPr>
          </w:p>
        </w:tc>
      </w:tr>
      <w:tr>
        <w:trPr>
          <w:gridAfter w:val="1"/>
          <w:wAfter w:w="9" w:type="dxa"/>
        </w:trPr>
        <w:tc>
          <w:tcPr>
            <w:tcW w:w="948" w:type="dxa"/>
            <w:tcBorders>
              <w:top w:val="nil"/>
              <w:left w:val="single" w:sz="4" w:space="0" w:color="000000"/>
              <w:bottom w:val="single" w:sz="4" w:space="0" w:color="000000"/>
              <w:right w:val="nil"/>
            </w:tcBorders>
            <w:vAlign w:val="center"/>
            <w:hideMark/>
          </w:tcPr>
          <w:p>
            <w:pPr>
              <w:shd w:val="clear" w:color="000000" w:fill="auto"/>
              <w:suppressAutoHyphens/>
              <w:snapToGrid w:val="0"/>
              <w:rPr>
                <w:rFonts w:cs="Calibri"/>
                <w:sz w:val="20"/>
                <w:lang w:eastAsia="ar-SA"/>
              </w:rPr>
            </w:pPr>
            <w:r>
              <w:rPr>
                <w:sz w:val="20"/>
              </w:rPr>
              <w:t>2.5.2.1.</w:t>
            </w:r>
          </w:p>
        </w:tc>
        <w:tc>
          <w:tcPr>
            <w:tcW w:w="3878" w:type="dxa"/>
            <w:tcBorders>
              <w:top w:val="nil"/>
              <w:left w:val="single" w:sz="4" w:space="0" w:color="000000"/>
              <w:bottom w:val="single" w:sz="4" w:space="0" w:color="000000"/>
              <w:right w:val="nil"/>
            </w:tcBorders>
            <w:vAlign w:val="center"/>
            <w:hideMark/>
          </w:tcPr>
          <w:p>
            <w:pPr>
              <w:shd w:val="clear" w:color="000000" w:fill="auto"/>
              <w:suppressAutoHyphens/>
              <w:snapToGrid w:val="0"/>
              <w:rPr>
                <w:rFonts w:cs="Calibri"/>
                <w:sz w:val="20"/>
                <w:lang w:eastAsia="ar-SA"/>
              </w:rPr>
            </w:pPr>
            <w:r>
              <w:rPr>
                <w:sz w:val="20"/>
              </w:rPr>
              <w:t>langų, pakeistų į mažesnio šilumos laidumo langus, plotas</w:t>
            </w:r>
          </w:p>
        </w:tc>
        <w:tc>
          <w:tcPr>
            <w:tcW w:w="1024" w:type="dxa"/>
            <w:tcBorders>
              <w:top w:val="nil"/>
              <w:left w:val="single" w:sz="4" w:space="0" w:color="000000"/>
              <w:bottom w:val="single" w:sz="4" w:space="0" w:color="000000"/>
              <w:right w:val="nil"/>
            </w:tcBorders>
            <w:vAlign w:val="center"/>
            <w:hideMark/>
          </w:tcPr>
          <w:p>
            <w:pPr>
              <w:shd w:val="clear" w:color="000000" w:fill="auto"/>
              <w:suppressAutoHyphens/>
              <w:snapToGrid w:val="0"/>
              <w:jc w:val="center"/>
              <w:rPr>
                <w:rFonts w:cs="Calibri"/>
                <w:sz w:val="20"/>
                <w:lang w:eastAsia="ar-SA"/>
              </w:rPr>
            </w:pPr>
            <w:r>
              <w:rPr>
                <w:sz w:val="20"/>
              </w:rPr>
              <w:t>m</w:t>
            </w:r>
            <w:r>
              <w:rPr>
                <w:sz w:val="20"/>
                <w:vertAlign w:val="superscript"/>
              </w:rPr>
              <w:t>2</w:t>
            </w:r>
            <w:r>
              <w:rPr>
                <w:sz w:val="20"/>
              </w:rPr>
              <w:t>.</w:t>
            </w:r>
          </w:p>
        </w:tc>
        <w:tc>
          <w:tcPr>
            <w:tcW w:w="1127" w:type="dxa"/>
            <w:tcBorders>
              <w:top w:val="nil"/>
              <w:left w:val="single" w:sz="4" w:space="0" w:color="000000"/>
              <w:bottom w:val="single" w:sz="4" w:space="0" w:color="000000"/>
              <w:right w:val="nil"/>
            </w:tcBorders>
            <w:vAlign w:val="center"/>
          </w:tcPr>
          <w:p>
            <w:pPr>
              <w:shd w:val="clear" w:color="000000" w:fill="auto"/>
              <w:suppressAutoHyphens/>
              <w:snapToGrid w:val="0"/>
              <w:rPr>
                <w:rFonts w:cs="Calibri"/>
                <w:sz w:val="20"/>
                <w:lang w:eastAsia="ar-SA"/>
              </w:rPr>
            </w:pPr>
          </w:p>
        </w:tc>
        <w:tc>
          <w:tcPr>
            <w:tcW w:w="2701" w:type="dxa"/>
            <w:tcBorders>
              <w:top w:val="nil"/>
              <w:left w:val="single" w:sz="4" w:space="0" w:color="000000"/>
              <w:bottom w:val="single" w:sz="4" w:space="0" w:color="000000"/>
              <w:right w:val="single" w:sz="4" w:space="0" w:color="000000"/>
            </w:tcBorders>
            <w:vAlign w:val="center"/>
          </w:tcPr>
          <w:p>
            <w:pPr>
              <w:shd w:val="clear" w:color="000000" w:fill="auto"/>
              <w:suppressAutoHyphens/>
              <w:snapToGrid w:val="0"/>
              <w:rPr>
                <w:rFonts w:cs="Calibri"/>
                <w:sz w:val="20"/>
                <w:lang w:eastAsia="ar-SA"/>
              </w:rPr>
            </w:pPr>
          </w:p>
        </w:tc>
      </w:tr>
      <w:tr>
        <w:trPr>
          <w:gridAfter w:val="1"/>
          <w:wAfter w:w="9" w:type="dxa"/>
          <w:trHeight w:val="392"/>
        </w:trPr>
        <w:tc>
          <w:tcPr>
            <w:tcW w:w="948" w:type="dxa"/>
            <w:tcBorders>
              <w:top w:val="nil"/>
              <w:left w:val="single" w:sz="4" w:space="0" w:color="000000"/>
              <w:bottom w:val="single" w:sz="4" w:space="0" w:color="000000"/>
              <w:right w:val="nil"/>
            </w:tcBorders>
            <w:vAlign w:val="center"/>
          </w:tcPr>
          <w:p>
            <w:pPr>
              <w:shd w:val="clear" w:color="000000" w:fill="auto"/>
              <w:snapToGrid w:val="0"/>
              <w:rPr>
                <w:rFonts w:cs="Calibri"/>
                <w:sz w:val="20"/>
                <w:lang w:eastAsia="ar-SA"/>
              </w:rPr>
            </w:pPr>
            <w:r>
              <w:rPr>
                <w:sz w:val="20"/>
              </w:rPr>
              <w:t>2.5.3.</w:t>
            </w:r>
          </w:p>
          <w:p>
            <w:pPr>
              <w:shd w:val="clear" w:color="000000" w:fill="auto"/>
              <w:suppressAutoHyphens/>
              <w:snapToGrid w:val="0"/>
              <w:rPr>
                <w:rFonts w:cs="Calibri"/>
                <w:sz w:val="20"/>
                <w:lang w:eastAsia="ar-SA"/>
              </w:rPr>
            </w:pPr>
          </w:p>
        </w:tc>
        <w:tc>
          <w:tcPr>
            <w:tcW w:w="3878" w:type="dxa"/>
            <w:tcBorders>
              <w:top w:val="nil"/>
              <w:left w:val="single" w:sz="4" w:space="0" w:color="000000"/>
              <w:bottom w:val="single" w:sz="4" w:space="0" w:color="000000"/>
              <w:right w:val="nil"/>
            </w:tcBorders>
            <w:vAlign w:val="center"/>
          </w:tcPr>
          <w:p>
            <w:pPr>
              <w:shd w:val="clear" w:color="000000" w:fill="auto"/>
              <w:snapToGrid w:val="0"/>
              <w:rPr>
                <w:rFonts w:cs="Calibri"/>
                <w:sz w:val="20"/>
                <w:lang w:eastAsia="ar-SA"/>
              </w:rPr>
            </w:pPr>
            <w:r>
              <w:rPr>
                <w:sz w:val="20"/>
              </w:rPr>
              <w:t>lauko durų skaičius</w:t>
            </w:r>
          </w:p>
          <w:p>
            <w:pPr>
              <w:shd w:val="clear" w:color="000000" w:fill="auto"/>
              <w:suppressAutoHyphens/>
              <w:snapToGrid w:val="0"/>
              <w:rPr>
                <w:rFonts w:cs="Calibri"/>
                <w:sz w:val="20"/>
                <w:lang w:eastAsia="ar-SA"/>
              </w:rPr>
            </w:pPr>
          </w:p>
        </w:tc>
        <w:tc>
          <w:tcPr>
            <w:tcW w:w="1024" w:type="dxa"/>
            <w:tcBorders>
              <w:top w:val="nil"/>
              <w:left w:val="single" w:sz="4" w:space="0" w:color="000000"/>
              <w:bottom w:val="single" w:sz="4" w:space="0" w:color="000000"/>
              <w:right w:val="nil"/>
            </w:tcBorders>
            <w:vAlign w:val="center"/>
          </w:tcPr>
          <w:p>
            <w:pPr>
              <w:shd w:val="clear" w:color="000000" w:fill="auto"/>
              <w:snapToGrid w:val="0"/>
              <w:ind w:firstLine="150"/>
              <w:rPr>
                <w:rFonts w:cs="Calibri"/>
                <w:sz w:val="20"/>
                <w:lang w:eastAsia="ar-SA"/>
              </w:rPr>
            </w:pPr>
            <w:r>
              <w:rPr>
                <w:sz w:val="20"/>
              </w:rPr>
              <w:t>vnt</w:t>
            </w:r>
          </w:p>
          <w:p>
            <w:pPr>
              <w:shd w:val="clear" w:color="000000" w:fill="auto"/>
              <w:suppressAutoHyphens/>
              <w:snapToGrid w:val="0"/>
              <w:rPr>
                <w:rFonts w:cs="Calibri"/>
                <w:sz w:val="20"/>
                <w:vertAlign w:val="superscript"/>
                <w:lang w:eastAsia="ar-SA"/>
              </w:rPr>
            </w:pPr>
          </w:p>
        </w:tc>
        <w:tc>
          <w:tcPr>
            <w:tcW w:w="1127" w:type="dxa"/>
            <w:tcBorders>
              <w:top w:val="nil"/>
              <w:left w:val="single" w:sz="4" w:space="0" w:color="000000"/>
              <w:bottom w:val="single" w:sz="4" w:space="0" w:color="000000"/>
              <w:right w:val="nil"/>
            </w:tcBorders>
            <w:vAlign w:val="center"/>
          </w:tcPr>
          <w:p>
            <w:pPr>
              <w:shd w:val="clear" w:color="000000" w:fill="auto"/>
              <w:suppressAutoHyphens/>
              <w:snapToGrid w:val="0"/>
              <w:rPr>
                <w:rFonts w:cs="Calibri"/>
                <w:sz w:val="20"/>
                <w:lang w:eastAsia="ar-SA"/>
              </w:rPr>
            </w:pPr>
          </w:p>
        </w:tc>
        <w:tc>
          <w:tcPr>
            <w:tcW w:w="2701" w:type="dxa"/>
            <w:tcBorders>
              <w:top w:val="nil"/>
              <w:left w:val="single" w:sz="4" w:space="0" w:color="000000"/>
              <w:bottom w:val="single" w:sz="4" w:space="0" w:color="000000"/>
              <w:right w:val="single" w:sz="4" w:space="0" w:color="000000"/>
            </w:tcBorders>
            <w:vAlign w:val="center"/>
          </w:tcPr>
          <w:p>
            <w:pPr>
              <w:shd w:val="clear" w:color="000000" w:fill="auto"/>
              <w:suppressAutoHyphens/>
              <w:snapToGrid w:val="0"/>
              <w:rPr>
                <w:rFonts w:cs="Calibri"/>
                <w:sz w:val="20"/>
                <w:lang w:eastAsia="ar-SA"/>
              </w:rPr>
            </w:pPr>
          </w:p>
        </w:tc>
      </w:tr>
      <w:tr>
        <w:trPr>
          <w:gridAfter w:val="1"/>
          <w:wAfter w:w="9" w:type="dxa"/>
          <w:trHeight w:val="419"/>
        </w:trPr>
        <w:tc>
          <w:tcPr>
            <w:tcW w:w="948" w:type="dxa"/>
            <w:tcBorders>
              <w:top w:val="nil"/>
              <w:left w:val="single" w:sz="4" w:space="0" w:color="000000"/>
              <w:bottom w:val="single" w:sz="4" w:space="0" w:color="000000"/>
              <w:right w:val="nil"/>
            </w:tcBorders>
            <w:vAlign w:val="center"/>
            <w:hideMark/>
          </w:tcPr>
          <w:p>
            <w:pPr>
              <w:shd w:val="clear" w:color="000000" w:fill="auto"/>
              <w:suppressAutoHyphens/>
              <w:snapToGrid w:val="0"/>
              <w:rPr>
                <w:rFonts w:cs="Calibri"/>
                <w:sz w:val="20"/>
                <w:lang w:eastAsia="ar-SA"/>
              </w:rPr>
            </w:pPr>
            <w:r>
              <w:rPr>
                <w:sz w:val="20"/>
              </w:rPr>
              <w:t>2.5.4.</w:t>
            </w:r>
          </w:p>
        </w:tc>
        <w:tc>
          <w:tcPr>
            <w:tcW w:w="3878" w:type="dxa"/>
            <w:tcBorders>
              <w:top w:val="nil"/>
              <w:left w:val="single" w:sz="4" w:space="0" w:color="000000"/>
              <w:bottom w:val="single" w:sz="4" w:space="0" w:color="000000"/>
              <w:right w:val="nil"/>
            </w:tcBorders>
            <w:vAlign w:val="center"/>
            <w:hideMark/>
          </w:tcPr>
          <w:p>
            <w:pPr>
              <w:shd w:val="clear" w:color="000000" w:fill="auto"/>
              <w:suppressAutoHyphens/>
              <w:snapToGrid w:val="0"/>
              <w:rPr>
                <w:rFonts w:cs="Calibri"/>
                <w:sz w:val="20"/>
                <w:lang w:eastAsia="ar-SA"/>
              </w:rPr>
            </w:pPr>
            <w:r>
              <w:rPr>
                <w:sz w:val="20"/>
              </w:rPr>
              <w:t>lauko durų plotas</w:t>
            </w:r>
          </w:p>
        </w:tc>
        <w:tc>
          <w:tcPr>
            <w:tcW w:w="1024" w:type="dxa"/>
            <w:tcBorders>
              <w:top w:val="nil"/>
              <w:left w:val="single" w:sz="4" w:space="0" w:color="000000"/>
              <w:bottom w:val="single" w:sz="4" w:space="0" w:color="000000"/>
              <w:right w:val="nil"/>
            </w:tcBorders>
            <w:vAlign w:val="center"/>
            <w:hideMark/>
          </w:tcPr>
          <w:p>
            <w:pPr>
              <w:shd w:val="clear" w:color="000000" w:fill="auto"/>
              <w:suppressAutoHyphens/>
              <w:snapToGrid w:val="0"/>
              <w:jc w:val="center"/>
              <w:rPr>
                <w:rFonts w:cs="Calibri"/>
                <w:sz w:val="20"/>
                <w:lang w:eastAsia="ar-SA"/>
              </w:rPr>
            </w:pPr>
            <w:r>
              <w:rPr>
                <w:sz w:val="20"/>
              </w:rPr>
              <w:t>m</w:t>
            </w:r>
            <w:r>
              <w:rPr>
                <w:sz w:val="20"/>
                <w:vertAlign w:val="superscript"/>
              </w:rPr>
              <w:t>2</w:t>
            </w:r>
          </w:p>
        </w:tc>
        <w:tc>
          <w:tcPr>
            <w:tcW w:w="1127" w:type="dxa"/>
            <w:tcBorders>
              <w:top w:val="nil"/>
              <w:left w:val="single" w:sz="4" w:space="0" w:color="000000"/>
              <w:bottom w:val="single" w:sz="4" w:space="0" w:color="000000"/>
              <w:right w:val="nil"/>
            </w:tcBorders>
            <w:vAlign w:val="center"/>
          </w:tcPr>
          <w:p>
            <w:pPr>
              <w:shd w:val="clear" w:color="000000" w:fill="auto"/>
              <w:suppressAutoHyphens/>
              <w:snapToGrid w:val="0"/>
              <w:rPr>
                <w:rFonts w:cs="Calibri"/>
                <w:sz w:val="20"/>
                <w:lang w:eastAsia="ar-SA"/>
              </w:rPr>
            </w:pPr>
          </w:p>
        </w:tc>
        <w:tc>
          <w:tcPr>
            <w:tcW w:w="2701" w:type="dxa"/>
            <w:tcBorders>
              <w:top w:val="nil"/>
              <w:left w:val="single" w:sz="4" w:space="0" w:color="000000"/>
              <w:bottom w:val="single" w:sz="4" w:space="0" w:color="000000"/>
              <w:right w:val="single" w:sz="4" w:space="0" w:color="000000"/>
            </w:tcBorders>
            <w:vAlign w:val="center"/>
          </w:tcPr>
          <w:p>
            <w:pPr>
              <w:shd w:val="clear" w:color="000000" w:fill="auto"/>
              <w:suppressAutoHyphens/>
              <w:snapToGrid w:val="0"/>
              <w:rPr>
                <w:rFonts w:cs="Calibri"/>
                <w:sz w:val="20"/>
                <w:lang w:eastAsia="ar-SA"/>
              </w:rPr>
            </w:pPr>
          </w:p>
        </w:tc>
      </w:tr>
      <w:tr>
        <w:tc>
          <w:tcPr>
            <w:tcW w:w="948" w:type="dxa"/>
            <w:tcBorders>
              <w:top w:val="nil"/>
              <w:left w:val="single" w:sz="4" w:space="0" w:color="000000"/>
              <w:bottom w:val="single" w:sz="4" w:space="0" w:color="000000"/>
              <w:right w:val="nil"/>
            </w:tcBorders>
            <w:shd w:val="clear" w:color="auto" w:fill="A6A6A6"/>
            <w:vAlign w:val="center"/>
            <w:hideMark/>
          </w:tcPr>
          <w:p>
            <w:pPr>
              <w:shd w:val="clear" w:color="000000" w:fill="auto"/>
              <w:suppressAutoHyphens/>
              <w:snapToGrid w:val="0"/>
              <w:rPr>
                <w:rFonts w:cs="Calibri"/>
                <w:b/>
                <w:sz w:val="20"/>
                <w:lang w:eastAsia="ar-SA"/>
              </w:rPr>
            </w:pPr>
            <w:r>
              <w:rPr>
                <w:b/>
                <w:sz w:val="20"/>
              </w:rPr>
              <w:t>2.6</w:t>
            </w:r>
          </w:p>
        </w:tc>
        <w:tc>
          <w:tcPr>
            <w:tcW w:w="8739" w:type="dxa"/>
            <w:gridSpan w:val="5"/>
            <w:tcBorders>
              <w:top w:val="nil"/>
              <w:left w:val="single" w:sz="4" w:space="0" w:color="000000"/>
              <w:bottom w:val="single" w:sz="4" w:space="0" w:color="000000"/>
              <w:right w:val="single" w:sz="4" w:space="0" w:color="000000"/>
            </w:tcBorders>
            <w:shd w:val="clear" w:color="auto" w:fill="A6A6A6"/>
            <w:vAlign w:val="center"/>
            <w:hideMark/>
          </w:tcPr>
          <w:p>
            <w:pPr>
              <w:shd w:val="clear" w:color="000000" w:fill="auto"/>
              <w:suppressAutoHyphens/>
              <w:snapToGrid w:val="0"/>
              <w:rPr>
                <w:rFonts w:cs="Calibri"/>
                <w:b/>
                <w:sz w:val="20"/>
                <w:lang w:eastAsia="ar-SA"/>
              </w:rPr>
            </w:pPr>
            <w:r>
              <w:rPr>
                <w:b/>
                <w:sz w:val="20"/>
              </w:rPr>
              <w:t>rūsys</w:t>
            </w:r>
          </w:p>
        </w:tc>
      </w:tr>
      <w:tr>
        <w:trPr>
          <w:gridAfter w:val="1"/>
          <w:wAfter w:w="9" w:type="dxa"/>
        </w:trPr>
        <w:tc>
          <w:tcPr>
            <w:tcW w:w="948" w:type="dxa"/>
            <w:tcBorders>
              <w:top w:val="nil"/>
              <w:left w:val="single" w:sz="4" w:space="0" w:color="000000"/>
              <w:bottom w:val="single" w:sz="4" w:space="0" w:color="000000"/>
              <w:right w:val="nil"/>
            </w:tcBorders>
            <w:vAlign w:val="center"/>
            <w:hideMark/>
          </w:tcPr>
          <w:p>
            <w:pPr>
              <w:shd w:val="clear" w:color="000000" w:fill="auto"/>
              <w:suppressAutoHyphens/>
              <w:snapToGrid w:val="0"/>
              <w:rPr>
                <w:rFonts w:cs="Calibri"/>
                <w:sz w:val="20"/>
                <w:lang w:eastAsia="ar-SA"/>
              </w:rPr>
            </w:pPr>
            <w:r>
              <w:rPr>
                <w:sz w:val="20"/>
              </w:rPr>
              <w:t>2.6.1.</w:t>
            </w:r>
          </w:p>
        </w:tc>
        <w:tc>
          <w:tcPr>
            <w:tcW w:w="3878" w:type="dxa"/>
            <w:tcBorders>
              <w:top w:val="nil"/>
              <w:left w:val="single" w:sz="4" w:space="0" w:color="000000"/>
              <w:bottom w:val="single" w:sz="4" w:space="0" w:color="000000"/>
              <w:right w:val="nil"/>
            </w:tcBorders>
            <w:vAlign w:val="center"/>
            <w:hideMark/>
          </w:tcPr>
          <w:p>
            <w:pPr>
              <w:shd w:val="clear" w:color="000000" w:fill="auto"/>
              <w:suppressAutoHyphens/>
              <w:snapToGrid w:val="0"/>
              <w:rPr>
                <w:rFonts w:cs="Calibri"/>
                <w:sz w:val="20"/>
                <w:lang w:eastAsia="ar-SA"/>
              </w:rPr>
            </w:pPr>
            <w:r>
              <w:rPr>
                <w:sz w:val="20"/>
              </w:rPr>
              <w:t>rūsio perdangos plotas</w:t>
            </w:r>
          </w:p>
        </w:tc>
        <w:tc>
          <w:tcPr>
            <w:tcW w:w="1024" w:type="dxa"/>
            <w:tcBorders>
              <w:top w:val="nil"/>
              <w:left w:val="single" w:sz="4" w:space="0" w:color="000000"/>
              <w:bottom w:val="single" w:sz="4" w:space="0" w:color="000000"/>
              <w:right w:val="nil"/>
            </w:tcBorders>
            <w:vAlign w:val="center"/>
            <w:hideMark/>
          </w:tcPr>
          <w:p>
            <w:pPr>
              <w:shd w:val="clear" w:color="000000" w:fill="auto"/>
              <w:suppressAutoHyphens/>
              <w:snapToGrid w:val="0"/>
              <w:jc w:val="center"/>
              <w:rPr>
                <w:rFonts w:cs="Calibri"/>
                <w:sz w:val="20"/>
                <w:vertAlign w:val="superscript"/>
                <w:lang w:eastAsia="ar-SA"/>
              </w:rPr>
            </w:pPr>
            <w:r>
              <w:rPr>
                <w:sz w:val="20"/>
              </w:rPr>
              <w:t>m</w:t>
            </w:r>
            <w:r>
              <w:rPr>
                <w:sz w:val="20"/>
                <w:vertAlign w:val="superscript"/>
              </w:rPr>
              <w:t>2</w:t>
            </w:r>
          </w:p>
        </w:tc>
        <w:tc>
          <w:tcPr>
            <w:tcW w:w="1127" w:type="dxa"/>
            <w:tcBorders>
              <w:top w:val="nil"/>
              <w:left w:val="single" w:sz="4" w:space="0" w:color="000000"/>
              <w:bottom w:val="single" w:sz="4" w:space="0" w:color="000000"/>
              <w:right w:val="nil"/>
            </w:tcBorders>
            <w:vAlign w:val="center"/>
          </w:tcPr>
          <w:p>
            <w:pPr>
              <w:shd w:val="clear" w:color="000000" w:fill="auto"/>
              <w:suppressAutoHyphens/>
              <w:snapToGrid w:val="0"/>
              <w:rPr>
                <w:rFonts w:cs="Calibri"/>
                <w:sz w:val="20"/>
                <w:lang w:eastAsia="ar-SA"/>
              </w:rPr>
            </w:pPr>
          </w:p>
        </w:tc>
        <w:tc>
          <w:tcPr>
            <w:tcW w:w="2701" w:type="dxa"/>
            <w:tcBorders>
              <w:top w:val="nil"/>
              <w:left w:val="single" w:sz="4" w:space="0" w:color="000000"/>
              <w:bottom w:val="single" w:sz="4" w:space="0" w:color="000000"/>
              <w:right w:val="single" w:sz="4" w:space="0" w:color="000000"/>
            </w:tcBorders>
            <w:vAlign w:val="center"/>
          </w:tcPr>
          <w:p>
            <w:pPr>
              <w:shd w:val="clear" w:color="000000" w:fill="auto"/>
              <w:suppressAutoHyphens/>
              <w:snapToGrid w:val="0"/>
              <w:rPr>
                <w:rFonts w:cs="Calibri"/>
                <w:sz w:val="20"/>
                <w:lang w:eastAsia="ar-SA"/>
              </w:rPr>
            </w:pPr>
          </w:p>
        </w:tc>
      </w:tr>
      <w:tr>
        <w:trPr>
          <w:gridAfter w:val="1"/>
          <w:wAfter w:w="9" w:type="dxa"/>
        </w:trPr>
        <w:tc>
          <w:tcPr>
            <w:tcW w:w="948" w:type="dxa"/>
            <w:tcBorders>
              <w:top w:val="nil"/>
              <w:left w:val="single" w:sz="4" w:space="0" w:color="000000"/>
              <w:bottom w:val="single" w:sz="4" w:space="0" w:color="000000"/>
              <w:right w:val="nil"/>
            </w:tcBorders>
            <w:vAlign w:val="center"/>
            <w:hideMark/>
          </w:tcPr>
          <w:p>
            <w:pPr>
              <w:shd w:val="clear" w:color="000000" w:fill="auto"/>
              <w:suppressAutoHyphens/>
              <w:snapToGrid w:val="0"/>
              <w:rPr>
                <w:rFonts w:cs="Calibri"/>
                <w:sz w:val="20"/>
                <w:lang w:eastAsia="ar-SA"/>
              </w:rPr>
            </w:pPr>
            <w:r>
              <w:rPr>
                <w:sz w:val="20"/>
              </w:rPr>
              <w:t>2.6.2.</w:t>
            </w:r>
          </w:p>
        </w:tc>
        <w:tc>
          <w:tcPr>
            <w:tcW w:w="3878" w:type="dxa"/>
            <w:tcBorders>
              <w:top w:val="nil"/>
              <w:left w:val="single" w:sz="4" w:space="0" w:color="000000"/>
              <w:bottom w:val="single" w:sz="4" w:space="0" w:color="000000"/>
              <w:right w:val="nil"/>
            </w:tcBorders>
            <w:vAlign w:val="center"/>
            <w:hideMark/>
          </w:tcPr>
          <w:p>
            <w:pPr>
              <w:shd w:val="clear" w:color="000000" w:fill="auto"/>
              <w:suppressAutoHyphens/>
              <w:snapToGrid w:val="0"/>
              <w:rPr>
                <w:rFonts w:cs="Calibri"/>
                <w:sz w:val="20"/>
                <w:lang w:eastAsia="ar-SA"/>
              </w:rPr>
            </w:pPr>
            <w:r>
              <w:rPr>
                <w:sz w:val="20"/>
              </w:rPr>
              <w:t>rūsio perdangos šilumos perdavimo koeficientas</w:t>
            </w:r>
          </w:p>
        </w:tc>
        <w:tc>
          <w:tcPr>
            <w:tcW w:w="1024" w:type="dxa"/>
            <w:tcBorders>
              <w:top w:val="nil"/>
              <w:left w:val="single" w:sz="4" w:space="0" w:color="000000"/>
              <w:bottom w:val="single" w:sz="4" w:space="0" w:color="000000"/>
              <w:right w:val="nil"/>
            </w:tcBorders>
            <w:vAlign w:val="center"/>
            <w:hideMark/>
          </w:tcPr>
          <w:p>
            <w:pPr>
              <w:shd w:val="clear" w:color="000000" w:fill="auto"/>
              <w:suppressAutoHyphens/>
              <w:snapToGrid w:val="0"/>
              <w:jc w:val="center"/>
              <w:rPr>
                <w:rFonts w:cs="Calibri"/>
                <w:sz w:val="20"/>
                <w:lang w:eastAsia="ar-SA"/>
              </w:rPr>
            </w:pPr>
            <w:r>
              <w:rPr>
                <w:sz w:val="20"/>
              </w:rPr>
              <w:t>W/m</w:t>
            </w:r>
            <w:r>
              <w:rPr>
                <w:sz w:val="20"/>
                <w:vertAlign w:val="superscript"/>
              </w:rPr>
              <w:t>2</w:t>
            </w:r>
            <w:r>
              <w:rPr>
                <w:sz w:val="20"/>
              </w:rPr>
              <w:t>K</w:t>
            </w:r>
          </w:p>
        </w:tc>
        <w:tc>
          <w:tcPr>
            <w:tcW w:w="1127" w:type="dxa"/>
            <w:tcBorders>
              <w:top w:val="nil"/>
              <w:left w:val="single" w:sz="4" w:space="0" w:color="000000"/>
              <w:bottom w:val="single" w:sz="4" w:space="0" w:color="000000"/>
              <w:right w:val="nil"/>
            </w:tcBorders>
            <w:vAlign w:val="center"/>
          </w:tcPr>
          <w:p>
            <w:pPr>
              <w:shd w:val="clear" w:color="000000" w:fill="auto"/>
              <w:suppressAutoHyphens/>
              <w:snapToGrid w:val="0"/>
              <w:rPr>
                <w:rFonts w:cs="Calibri"/>
                <w:sz w:val="20"/>
                <w:lang w:eastAsia="ar-SA"/>
              </w:rPr>
            </w:pPr>
          </w:p>
        </w:tc>
        <w:tc>
          <w:tcPr>
            <w:tcW w:w="2701" w:type="dxa"/>
            <w:tcBorders>
              <w:top w:val="nil"/>
              <w:left w:val="single" w:sz="4" w:space="0" w:color="000000"/>
              <w:bottom w:val="single" w:sz="4" w:space="0" w:color="000000"/>
              <w:right w:val="single" w:sz="4" w:space="0" w:color="000000"/>
            </w:tcBorders>
            <w:vAlign w:val="center"/>
          </w:tcPr>
          <w:p>
            <w:pPr>
              <w:shd w:val="clear" w:color="000000" w:fill="auto"/>
              <w:suppressAutoHyphens/>
              <w:snapToGrid w:val="0"/>
              <w:rPr>
                <w:rFonts w:cs="Calibri"/>
                <w:sz w:val="20"/>
                <w:lang w:eastAsia="ar-SA"/>
              </w:rPr>
            </w:pPr>
          </w:p>
        </w:tc>
      </w:tr>
    </w:tbl>
    <w:p>
      <w:pPr>
        <w:shd w:val="clear" w:color="000000" w:fill="auto"/>
        <w:ind w:left="720"/>
        <w:jc w:val="both"/>
        <w:rPr>
          <w:sz w:val="20"/>
          <w:lang w:eastAsia="ar-SA"/>
        </w:rPr>
      </w:pPr>
    </w:p>
    <w:p>
      <w:pPr>
        <w:shd w:val="clear" w:color="000000" w:fill="auto"/>
        <w:ind w:firstLine="720"/>
        <w:jc w:val="both"/>
        <w:rPr>
          <w:rFonts w:cs="Calibri"/>
          <w:sz w:val="20"/>
        </w:rPr>
      </w:pPr>
      <w:r>
        <w:rPr>
          <w:sz w:val="16"/>
          <w:szCs w:val="16"/>
        </w:rPr>
        <w:t>*Prie negyvenamosios paskirties patalpų priskiriamos daugiabučiame name esančios kitos paskirties (prekybos, paslaugų ir pan.) patalpos, įregistruotos Nekilnojamojo turto registre, kaip atskiras nekilnojamasis</w:t>
      </w:r>
      <w:r>
        <w:rPr>
          <w:sz w:val="20"/>
        </w:rPr>
        <w:t xml:space="preserve"> </w:t>
      </w:r>
      <w:r>
        <w:rPr>
          <w:sz w:val="16"/>
          <w:szCs w:val="16"/>
        </w:rPr>
        <w:t xml:space="preserve">daiktas. Nustatant suminį gyvenamųjų ir negyvenamųjų patalpų plotą, sumuojamas gyvenamųjų  patalpų (butų) naudingasis plotas ir negyvenamųjų patalpų bendrasis plotas (kadangi pagal Nekilnojamojo turto kadastrinių matavimų taisykles negyvenamosioms patalpoms taikoma tik bendrojo ploto sąvoka).</w:t>
      </w:r>
    </w:p>
    <w:p>
      <w:pPr>
        <w:shd w:val="clear" w:color="000000" w:fill="auto"/>
        <w:jc w:val="both"/>
        <w:rPr>
          <w:b/>
          <w:szCs w:val="24"/>
        </w:rPr>
      </w:pPr>
    </w:p>
    <w:p>
      <w:pPr>
        <w:shd w:val="clear" w:color="000000" w:fill="auto"/>
        <w:jc w:val="center"/>
        <w:rPr>
          <w:b/>
        </w:rPr>
      </w:pPr>
      <w:r>
        <w:rPr>
          <w:b/>
        </w:rPr>
        <w:t>3</w:t>
      </w:r>
      <w:r>
        <w:rPr>
          <w:b/>
        </w:rPr>
        <w:t>. Namo konstrukcijų ir inžinerinių sistemų fizinės-techninės būklės įvertinimas</w:t>
      </w:r>
    </w:p>
    <w:p>
      <w:pPr>
        <w:shd w:val="clear" w:color="000000" w:fill="auto"/>
        <w:ind w:firstLine="8080"/>
      </w:pPr>
      <w:r>
        <w:t>2</w:t>
      </w:r>
      <w:r>
        <w:t xml:space="preserve"> lentelė</w:t>
      </w:r>
    </w:p>
    <w:tbl>
      <w:tblPr>
        <w:tblW w:w="9848" w:type="dxa"/>
        <w:tblInd w:w="108" w:type="dxa"/>
        <w:tblLayout w:type="fixed"/>
        <w:tblLook w:val="04A0" w:firstRow="1" w:lastRow="0" w:firstColumn="1" w:lastColumn="0" w:noHBand="0" w:noVBand="1"/>
      </w:tblPr>
      <w:tblGrid>
        <w:gridCol w:w="882"/>
        <w:gridCol w:w="1559"/>
        <w:gridCol w:w="1418"/>
        <w:gridCol w:w="3672"/>
        <w:gridCol w:w="2317"/>
      </w:tblGrid>
      <w:tr>
        <w:trPr>
          <w:cantSplit/>
        </w:trPr>
        <w:tc>
          <w:tcPr>
            <w:tcW w:w="882" w:type="dxa"/>
            <w:tcBorders>
              <w:top w:val="single" w:sz="8" w:space="0" w:color="000000"/>
              <w:left w:val="single" w:sz="8" w:space="0" w:color="000000"/>
              <w:bottom w:val="single" w:sz="4" w:space="0" w:color="000000"/>
              <w:right w:val="nil"/>
            </w:tcBorders>
            <w:shd w:val="clear" w:color="auto" w:fill="FFFFFF"/>
            <w:vAlign w:val="center"/>
            <w:hideMark/>
          </w:tcPr>
          <w:p>
            <w:pPr>
              <w:shd w:val="clear" w:color="000000" w:fill="auto"/>
              <w:suppressAutoHyphens/>
              <w:snapToGrid w:val="0"/>
              <w:jc w:val="center"/>
              <w:rPr>
                <w:rFonts w:cs="Calibri"/>
                <w:sz w:val="20"/>
                <w:lang w:eastAsia="ar-SA"/>
              </w:rPr>
            </w:pPr>
            <w:r>
              <w:rPr>
                <w:sz w:val="20"/>
              </w:rPr>
              <w:t>Eil. Nr.</w:t>
            </w:r>
          </w:p>
        </w:tc>
        <w:tc>
          <w:tcPr>
            <w:tcW w:w="1559" w:type="dxa"/>
            <w:tcBorders>
              <w:top w:val="single" w:sz="8" w:space="0" w:color="000000"/>
              <w:left w:val="single" w:sz="4" w:space="0" w:color="000000"/>
              <w:bottom w:val="single" w:sz="4" w:space="0" w:color="000000"/>
              <w:right w:val="nil"/>
            </w:tcBorders>
            <w:shd w:val="clear" w:color="auto" w:fill="FFFFFF"/>
            <w:vAlign w:val="center"/>
            <w:hideMark/>
          </w:tcPr>
          <w:p>
            <w:pPr>
              <w:shd w:val="clear" w:color="000000" w:fill="auto"/>
              <w:snapToGrid w:val="0"/>
              <w:jc w:val="center"/>
              <w:rPr>
                <w:rFonts w:cs="Calibri"/>
                <w:sz w:val="20"/>
                <w:lang w:eastAsia="ar-SA"/>
              </w:rPr>
            </w:pPr>
            <w:r>
              <w:rPr>
                <w:sz w:val="20"/>
              </w:rPr>
              <w:t>Vertinimo</w:t>
            </w:r>
          </w:p>
          <w:p>
            <w:pPr>
              <w:shd w:val="clear" w:color="000000" w:fill="auto"/>
              <w:suppressAutoHyphens/>
              <w:snapToGrid w:val="0"/>
              <w:jc w:val="center"/>
              <w:rPr>
                <w:rFonts w:cs="Calibri"/>
                <w:sz w:val="20"/>
                <w:lang w:eastAsia="ar-SA"/>
              </w:rPr>
            </w:pPr>
            <w:r>
              <w:rPr>
                <w:sz w:val="20"/>
              </w:rPr>
              <w:t>objektas</w:t>
            </w:r>
          </w:p>
        </w:tc>
        <w:tc>
          <w:tcPr>
            <w:tcW w:w="1418" w:type="dxa"/>
            <w:tcBorders>
              <w:top w:val="single" w:sz="8" w:space="0" w:color="000000"/>
              <w:left w:val="single" w:sz="4" w:space="0" w:color="000000"/>
              <w:bottom w:val="single" w:sz="4" w:space="0" w:color="000000"/>
              <w:right w:val="nil"/>
            </w:tcBorders>
            <w:shd w:val="clear" w:color="auto" w:fill="FFFFFF"/>
            <w:vAlign w:val="center"/>
            <w:hideMark/>
          </w:tcPr>
          <w:p>
            <w:pPr>
              <w:shd w:val="clear" w:color="000000" w:fill="auto"/>
              <w:suppressAutoHyphens/>
              <w:snapToGrid w:val="0"/>
              <w:jc w:val="center"/>
              <w:rPr>
                <w:rFonts w:cs="Calibri"/>
                <w:sz w:val="20"/>
                <w:lang w:eastAsia="ar-SA"/>
              </w:rPr>
            </w:pPr>
            <w:r>
              <w:rPr>
                <w:sz w:val="20"/>
              </w:rPr>
              <w:t>Bendras įvertinimas*</w:t>
            </w:r>
          </w:p>
        </w:tc>
        <w:tc>
          <w:tcPr>
            <w:tcW w:w="3672" w:type="dxa"/>
            <w:tcBorders>
              <w:top w:val="single" w:sz="8" w:space="0" w:color="000000"/>
              <w:left w:val="single" w:sz="4" w:space="0" w:color="000000"/>
              <w:bottom w:val="single" w:sz="4" w:space="0" w:color="000000"/>
              <w:right w:val="nil"/>
            </w:tcBorders>
            <w:shd w:val="clear" w:color="auto" w:fill="FFFFFF"/>
            <w:vAlign w:val="center"/>
            <w:hideMark/>
          </w:tcPr>
          <w:p>
            <w:pPr>
              <w:shd w:val="clear" w:color="000000" w:fill="auto"/>
              <w:snapToGrid w:val="0"/>
              <w:jc w:val="center"/>
              <w:rPr>
                <w:rFonts w:cs="Calibri"/>
                <w:sz w:val="20"/>
                <w:lang w:eastAsia="ar-SA"/>
              </w:rPr>
            </w:pPr>
            <w:r>
              <w:rPr>
                <w:sz w:val="20"/>
              </w:rPr>
              <w:t>Išsamus būklės aprašymas</w:t>
            </w:r>
          </w:p>
          <w:p>
            <w:pPr>
              <w:shd w:val="clear" w:color="000000" w:fill="auto"/>
              <w:suppressAutoHyphens/>
              <w:snapToGrid w:val="0"/>
              <w:jc w:val="center"/>
              <w:rPr>
                <w:rFonts w:cs="Calibri"/>
                <w:sz w:val="20"/>
                <w:lang w:eastAsia="ar-SA"/>
              </w:rPr>
            </w:pPr>
            <w:r>
              <w:rPr>
                <w:sz w:val="20"/>
              </w:rPr>
              <w:t>(defektai, deformacijos, nusidėvėjimo lygis ir pan.)</w:t>
            </w:r>
          </w:p>
        </w:tc>
        <w:tc>
          <w:tcPr>
            <w:tcW w:w="2317" w:type="dxa"/>
            <w:tcBorders>
              <w:top w:val="single" w:sz="8" w:space="0" w:color="000000"/>
              <w:left w:val="single" w:sz="4" w:space="0" w:color="000000"/>
              <w:bottom w:val="single" w:sz="4" w:space="0" w:color="000000"/>
              <w:right w:val="single" w:sz="8" w:space="0" w:color="000000"/>
            </w:tcBorders>
            <w:shd w:val="clear" w:color="auto" w:fill="FFFFFF"/>
            <w:vAlign w:val="center"/>
            <w:hideMark/>
          </w:tcPr>
          <w:p>
            <w:pPr>
              <w:shd w:val="clear" w:color="000000" w:fill="auto"/>
              <w:snapToGrid w:val="0"/>
              <w:jc w:val="center"/>
              <w:rPr>
                <w:rFonts w:cs="Calibri"/>
                <w:sz w:val="20"/>
                <w:lang w:eastAsia="ar-SA"/>
              </w:rPr>
            </w:pPr>
            <w:r>
              <w:rPr>
                <w:sz w:val="20"/>
              </w:rPr>
              <w:t>Įvertinimo pagrindai</w:t>
            </w:r>
          </w:p>
          <w:p>
            <w:pPr>
              <w:shd w:val="clear" w:color="000000" w:fill="auto"/>
              <w:suppressAutoHyphens/>
              <w:snapToGrid w:val="0"/>
              <w:jc w:val="center"/>
              <w:rPr>
                <w:rFonts w:cs="Calibri"/>
                <w:sz w:val="20"/>
                <w:lang w:eastAsia="ar-SA"/>
              </w:rPr>
            </w:pPr>
            <w:r>
              <w:rPr>
                <w:sz w:val="20"/>
              </w:rPr>
              <w:t>(kasmetinių ir neeilinių apžiūrų, statybos tyrinėjimų ir vizualinės apžiūros aktų datos, registracijos numeriai, vykdytojai)</w:t>
            </w:r>
          </w:p>
        </w:tc>
      </w:tr>
      <w:tr>
        <w:trPr>
          <w:cantSplit/>
        </w:trPr>
        <w:tc>
          <w:tcPr>
            <w:tcW w:w="882" w:type="dxa"/>
            <w:tcBorders>
              <w:top w:val="nil"/>
              <w:left w:val="single" w:sz="8" w:space="0" w:color="000000"/>
              <w:bottom w:val="single" w:sz="4" w:space="0" w:color="000000"/>
              <w:right w:val="nil"/>
            </w:tcBorders>
            <w:hideMark/>
          </w:tcPr>
          <w:p>
            <w:pPr>
              <w:shd w:val="clear" w:color="000000" w:fill="auto"/>
              <w:suppressAutoHyphens/>
              <w:snapToGrid w:val="0"/>
              <w:jc w:val="center"/>
              <w:rPr>
                <w:rFonts w:cs="Calibri"/>
                <w:sz w:val="20"/>
                <w:lang w:eastAsia="ar-SA"/>
              </w:rPr>
            </w:pPr>
            <w:r>
              <w:rPr>
                <w:sz w:val="20"/>
              </w:rPr>
              <w:t>3.1.</w:t>
            </w:r>
          </w:p>
        </w:tc>
        <w:tc>
          <w:tcPr>
            <w:tcW w:w="1559" w:type="dxa"/>
            <w:tcBorders>
              <w:top w:val="nil"/>
              <w:left w:val="single" w:sz="4" w:space="0" w:color="000000"/>
              <w:bottom w:val="single" w:sz="4" w:space="0" w:color="000000"/>
              <w:right w:val="nil"/>
            </w:tcBorders>
            <w:hideMark/>
          </w:tcPr>
          <w:p>
            <w:pPr>
              <w:shd w:val="clear" w:color="000000" w:fill="auto"/>
              <w:suppressAutoHyphens/>
              <w:snapToGrid w:val="0"/>
              <w:rPr>
                <w:rFonts w:cs="Calibri"/>
                <w:sz w:val="20"/>
                <w:lang w:eastAsia="ar-SA"/>
              </w:rPr>
            </w:pPr>
            <w:r>
              <w:rPr>
                <w:sz w:val="20"/>
              </w:rPr>
              <w:t>išorinės sienos</w:t>
            </w:r>
          </w:p>
        </w:tc>
        <w:tc>
          <w:tcPr>
            <w:tcW w:w="1418" w:type="dxa"/>
            <w:tcBorders>
              <w:top w:val="nil"/>
              <w:left w:val="single" w:sz="4" w:space="0" w:color="000000"/>
              <w:bottom w:val="single" w:sz="4" w:space="0" w:color="000000"/>
              <w:right w:val="nil"/>
            </w:tcBorders>
          </w:tcPr>
          <w:p>
            <w:pPr>
              <w:shd w:val="clear" w:color="000000" w:fill="auto"/>
              <w:suppressAutoHyphens/>
              <w:snapToGrid w:val="0"/>
              <w:rPr>
                <w:rFonts w:cs="Calibri"/>
                <w:sz w:val="20"/>
                <w:lang w:eastAsia="ar-SA"/>
              </w:rPr>
            </w:pPr>
          </w:p>
        </w:tc>
        <w:tc>
          <w:tcPr>
            <w:tcW w:w="3672" w:type="dxa"/>
            <w:tcBorders>
              <w:top w:val="nil"/>
              <w:left w:val="single" w:sz="4" w:space="0" w:color="000000"/>
              <w:bottom w:val="single" w:sz="4" w:space="0" w:color="000000"/>
              <w:right w:val="nil"/>
            </w:tcBorders>
          </w:tcPr>
          <w:p>
            <w:pPr>
              <w:shd w:val="clear" w:color="000000" w:fill="auto"/>
              <w:snapToGrid w:val="0"/>
              <w:rPr>
                <w:rFonts w:cs="Calibri"/>
                <w:sz w:val="20"/>
                <w:lang w:eastAsia="ar-SA"/>
              </w:rPr>
            </w:pPr>
          </w:p>
          <w:p>
            <w:pPr>
              <w:shd w:val="clear" w:color="000000" w:fill="auto"/>
              <w:suppressAutoHyphens/>
              <w:rPr>
                <w:rFonts w:cs="Calibri"/>
                <w:sz w:val="20"/>
                <w:lang w:eastAsia="ar-SA"/>
              </w:rPr>
            </w:pPr>
          </w:p>
        </w:tc>
        <w:tc>
          <w:tcPr>
            <w:tcW w:w="2317" w:type="dxa"/>
            <w:tcBorders>
              <w:top w:val="nil"/>
              <w:left w:val="single" w:sz="4" w:space="0" w:color="000000"/>
              <w:bottom w:val="single" w:sz="4" w:space="0" w:color="000000"/>
              <w:right w:val="single" w:sz="8" w:space="0" w:color="000000"/>
            </w:tcBorders>
          </w:tcPr>
          <w:p>
            <w:pPr>
              <w:shd w:val="clear" w:color="000000" w:fill="auto"/>
              <w:suppressAutoHyphens/>
              <w:snapToGrid w:val="0"/>
              <w:rPr>
                <w:rFonts w:cs="Calibri"/>
                <w:sz w:val="20"/>
                <w:lang w:eastAsia="ar-SA"/>
              </w:rPr>
            </w:pPr>
          </w:p>
        </w:tc>
      </w:tr>
      <w:tr>
        <w:trPr>
          <w:cantSplit/>
        </w:trPr>
        <w:tc>
          <w:tcPr>
            <w:tcW w:w="882" w:type="dxa"/>
            <w:tcBorders>
              <w:top w:val="nil"/>
              <w:left w:val="single" w:sz="8" w:space="0" w:color="000000"/>
              <w:bottom w:val="single" w:sz="4" w:space="0" w:color="000000"/>
              <w:right w:val="nil"/>
            </w:tcBorders>
            <w:hideMark/>
          </w:tcPr>
          <w:p>
            <w:pPr>
              <w:shd w:val="clear" w:color="000000" w:fill="auto"/>
              <w:suppressAutoHyphens/>
              <w:snapToGrid w:val="0"/>
              <w:jc w:val="center"/>
              <w:rPr>
                <w:rFonts w:cs="Calibri"/>
                <w:sz w:val="20"/>
                <w:lang w:eastAsia="ar-SA"/>
              </w:rPr>
            </w:pPr>
            <w:r>
              <w:rPr>
                <w:sz w:val="20"/>
              </w:rPr>
              <w:t>3.2</w:t>
            </w:r>
          </w:p>
        </w:tc>
        <w:tc>
          <w:tcPr>
            <w:tcW w:w="1559" w:type="dxa"/>
            <w:tcBorders>
              <w:top w:val="nil"/>
              <w:left w:val="single" w:sz="4" w:space="0" w:color="000000"/>
              <w:bottom w:val="single" w:sz="4" w:space="0" w:color="000000"/>
              <w:right w:val="nil"/>
            </w:tcBorders>
            <w:hideMark/>
          </w:tcPr>
          <w:p>
            <w:pPr>
              <w:shd w:val="clear" w:color="000000" w:fill="auto"/>
              <w:suppressAutoHyphens/>
              <w:snapToGrid w:val="0"/>
              <w:rPr>
                <w:rFonts w:cs="Calibri"/>
                <w:strike/>
                <w:sz w:val="20"/>
                <w:lang w:eastAsia="ar-SA"/>
              </w:rPr>
            </w:pPr>
            <w:r>
              <w:rPr>
                <w:sz w:val="20"/>
              </w:rPr>
              <w:t xml:space="preserve">pamatai </w:t>
            </w:r>
          </w:p>
        </w:tc>
        <w:tc>
          <w:tcPr>
            <w:tcW w:w="1418" w:type="dxa"/>
            <w:tcBorders>
              <w:top w:val="nil"/>
              <w:left w:val="single" w:sz="4" w:space="0" w:color="000000"/>
              <w:bottom w:val="single" w:sz="4" w:space="0" w:color="000000"/>
              <w:right w:val="nil"/>
            </w:tcBorders>
          </w:tcPr>
          <w:p>
            <w:pPr>
              <w:shd w:val="clear" w:color="000000" w:fill="auto"/>
              <w:suppressAutoHyphens/>
              <w:snapToGrid w:val="0"/>
              <w:rPr>
                <w:rFonts w:cs="Calibri"/>
                <w:sz w:val="20"/>
                <w:lang w:eastAsia="ar-SA"/>
              </w:rPr>
            </w:pPr>
          </w:p>
        </w:tc>
        <w:tc>
          <w:tcPr>
            <w:tcW w:w="3672" w:type="dxa"/>
            <w:tcBorders>
              <w:top w:val="nil"/>
              <w:left w:val="single" w:sz="4" w:space="0" w:color="000000"/>
              <w:bottom w:val="single" w:sz="4" w:space="0" w:color="000000"/>
              <w:right w:val="nil"/>
            </w:tcBorders>
          </w:tcPr>
          <w:p>
            <w:pPr>
              <w:shd w:val="clear" w:color="000000" w:fill="auto"/>
              <w:snapToGrid w:val="0"/>
              <w:rPr>
                <w:rFonts w:cs="Calibri"/>
                <w:sz w:val="20"/>
                <w:lang w:eastAsia="ar-SA"/>
              </w:rPr>
            </w:pPr>
          </w:p>
          <w:p>
            <w:pPr>
              <w:shd w:val="clear" w:color="000000" w:fill="auto"/>
              <w:tabs>
                <w:tab w:val="left" w:pos="1296"/>
                <w:tab w:val="center" w:pos="4153"/>
                <w:tab w:val="right" w:pos="8306"/>
              </w:tabs>
              <w:suppressAutoHyphens/>
              <w:rPr>
                <w:rFonts w:cs="Calibri"/>
                <w:sz w:val="20"/>
                <w:lang w:eastAsia="ar-SA"/>
              </w:rPr>
            </w:pPr>
          </w:p>
        </w:tc>
        <w:tc>
          <w:tcPr>
            <w:tcW w:w="2317" w:type="dxa"/>
            <w:tcBorders>
              <w:top w:val="nil"/>
              <w:left w:val="single" w:sz="4" w:space="0" w:color="000000"/>
              <w:bottom w:val="single" w:sz="4" w:space="0" w:color="000000"/>
              <w:right w:val="single" w:sz="8" w:space="0" w:color="000000"/>
            </w:tcBorders>
          </w:tcPr>
          <w:p>
            <w:pPr>
              <w:shd w:val="clear" w:color="000000" w:fill="auto"/>
              <w:suppressAutoHyphens/>
              <w:snapToGrid w:val="0"/>
              <w:rPr>
                <w:rFonts w:cs="Calibri"/>
                <w:sz w:val="20"/>
                <w:lang w:eastAsia="ar-SA"/>
              </w:rPr>
            </w:pPr>
          </w:p>
        </w:tc>
      </w:tr>
      <w:tr>
        <w:trPr>
          <w:cantSplit/>
        </w:trPr>
        <w:tc>
          <w:tcPr>
            <w:tcW w:w="882" w:type="dxa"/>
            <w:tcBorders>
              <w:top w:val="nil"/>
              <w:left w:val="single" w:sz="8" w:space="0" w:color="000000"/>
              <w:bottom w:val="single" w:sz="4" w:space="0" w:color="000000"/>
              <w:right w:val="nil"/>
            </w:tcBorders>
            <w:hideMark/>
          </w:tcPr>
          <w:p>
            <w:pPr>
              <w:shd w:val="clear" w:color="000000" w:fill="auto"/>
              <w:suppressAutoHyphens/>
              <w:snapToGrid w:val="0"/>
              <w:jc w:val="center"/>
              <w:rPr>
                <w:rFonts w:cs="Calibri"/>
                <w:sz w:val="20"/>
                <w:lang w:eastAsia="ar-SA"/>
              </w:rPr>
            </w:pPr>
            <w:r>
              <w:rPr>
                <w:sz w:val="20"/>
              </w:rPr>
              <w:t>3.3.</w:t>
            </w:r>
          </w:p>
        </w:tc>
        <w:tc>
          <w:tcPr>
            <w:tcW w:w="1559" w:type="dxa"/>
            <w:tcBorders>
              <w:top w:val="nil"/>
              <w:left w:val="single" w:sz="4" w:space="0" w:color="000000"/>
              <w:bottom w:val="single" w:sz="4" w:space="0" w:color="000000"/>
              <w:right w:val="nil"/>
            </w:tcBorders>
          </w:tcPr>
          <w:p>
            <w:pPr>
              <w:shd w:val="clear" w:color="000000" w:fill="auto"/>
              <w:snapToGrid w:val="0"/>
              <w:rPr>
                <w:rFonts w:cs="Calibri"/>
                <w:sz w:val="20"/>
                <w:lang w:eastAsia="ar-SA"/>
              </w:rPr>
            </w:pPr>
            <w:r>
              <w:rPr>
                <w:sz w:val="20"/>
              </w:rPr>
              <w:t>stogas</w:t>
            </w:r>
          </w:p>
          <w:p>
            <w:pPr>
              <w:shd w:val="clear" w:color="000000" w:fill="auto"/>
              <w:suppressAutoHyphens/>
              <w:rPr>
                <w:rFonts w:cs="Calibri"/>
                <w:sz w:val="20"/>
                <w:lang w:eastAsia="ar-SA"/>
              </w:rPr>
            </w:pPr>
          </w:p>
        </w:tc>
        <w:tc>
          <w:tcPr>
            <w:tcW w:w="1418" w:type="dxa"/>
            <w:tcBorders>
              <w:top w:val="nil"/>
              <w:left w:val="single" w:sz="4" w:space="0" w:color="000000"/>
              <w:bottom w:val="single" w:sz="4" w:space="0" w:color="000000"/>
              <w:right w:val="nil"/>
            </w:tcBorders>
          </w:tcPr>
          <w:p>
            <w:pPr>
              <w:shd w:val="clear" w:color="000000" w:fill="auto"/>
              <w:suppressAutoHyphens/>
              <w:snapToGrid w:val="0"/>
              <w:rPr>
                <w:rFonts w:cs="Calibri"/>
                <w:sz w:val="20"/>
                <w:lang w:eastAsia="ar-SA"/>
              </w:rPr>
            </w:pPr>
          </w:p>
        </w:tc>
        <w:tc>
          <w:tcPr>
            <w:tcW w:w="3672" w:type="dxa"/>
            <w:tcBorders>
              <w:top w:val="nil"/>
              <w:left w:val="single" w:sz="4" w:space="0" w:color="000000"/>
              <w:bottom w:val="single" w:sz="4" w:space="0" w:color="000000"/>
              <w:right w:val="nil"/>
            </w:tcBorders>
          </w:tcPr>
          <w:p>
            <w:pPr>
              <w:shd w:val="clear" w:color="000000" w:fill="auto"/>
              <w:snapToGrid w:val="0"/>
              <w:rPr>
                <w:rFonts w:cs="Calibri"/>
                <w:sz w:val="20"/>
                <w:lang w:eastAsia="ar-SA"/>
              </w:rPr>
            </w:pPr>
          </w:p>
          <w:p>
            <w:pPr>
              <w:shd w:val="clear" w:color="000000" w:fill="auto"/>
              <w:suppressAutoHyphens/>
              <w:rPr>
                <w:rFonts w:cs="Calibri"/>
                <w:sz w:val="20"/>
                <w:lang w:eastAsia="ar-SA"/>
              </w:rPr>
            </w:pPr>
          </w:p>
        </w:tc>
        <w:tc>
          <w:tcPr>
            <w:tcW w:w="2317" w:type="dxa"/>
            <w:tcBorders>
              <w:top w:val="nil"/>
              <w:left w:val="single" w:sz="4" w:space="0" w:color="000000"/>
              <w:bottom w:val="single" w:sz="4" w:space="0" w:color="000000"/>
              <w:right w:val="single" w:sz="8" w:space="0" w:color="000000"/>
            </w:tcBorders>
          </w:tcPr>
          <w:p>
            <w:pPr>
              <w:shd w:val="clear" w:color="000000" w:fill="auto"/>
              <w:suppressAutoHyphens/>
              <w:snapToGrid w:val="0"/>
              <w:rPr>
                <w:rFonts w:cs="Calibri"/>
                <w:sz w:val="20"/>
                <w:lang w:eastAsia="ar-SA"/>
              </w:rPr>
            </w:pPr>
          </w:p>
        </w:tc>
      </w:tr>
      <w:tr>
        <w:trPr>
          <w:cantSplit/>
        </w:trPr>
        <w:tc>
          <w:tcPr>
            <w:tcW w:w="882" w:type="dxa"/>
            <w:tcBorders>
              <w:top w:val="nil"/>
              <w:left w:val="single" w:sz="8" w:space="0" w:color="000000"/>
              <w:bottom w:val="single" w:sz="4" w:space="0" w:color="000000"/>
              <w:right w:val="nil"/>
            </w:tcBorders>
            <w:hideMark/>
          </w:tcPr>
          <w:p>
            <w:pPr>
              <w:shd w:val="clear" w:color="000000" w:fill="auto"/>
              <w:suppressAutoHyphens/>
              <w:snapToGrid w:val="0"/>
              <w:jc w:val="center"/>
              <w:rPr>
                <w:rFonts w:cs="Calibri"/>
                <w:sz w:val="20"/>
                <w:lang w:eastAsia="ar-SA"/>
              </w:rPr>
            </w:pPr>
            <w:r>
              <w:rPr>
                <w:sz w:val="20"/>
              </w:rPr>
              <w:t>3.4.</w:t>
            </w:r>
          </w:p>
        </w:tc>
        <w:tc>
          <w:tcPr>
            <w:tcW w:w="1559" w:type="dxa"/>
            <w:tcBorders>
              <w:top w:val="nil"/>
              <w:left w:val="single" w:sz="4" w:space="0" w:color="000000"/>
              <w:bottom w:val="single" w:sz="4" w:space="0" w:color="000000"/>
              <w:right w:val="nil"/>
            </w:tcBorders>
            <w:hideMark/>
          </w:tcPr>
          <w:p>
            <w:pPr>
              <w:shd w:val="clear" w:color="000000" w:fill="auto"/>
              <w:suppressAutoHyphens/>
              <w:snapToGrid w:val="0"/>
              <w:rPr>
                <w:rFonts w:cs="Calibri"/>
                <w:sz w:val="20"/>
                <w:lang w:eastAsia="ar-SA"/>
              </w:rPr>
            </w:pPr>
            <w:r>
              <w:rPr>
                <w:sz w:val="20"/>
              </w:rPr>
              <w:t>butų ir kitų patalpų langai ir balkonų durys</w:t>
            </w:r>
          </w:p>
        </w:tc>
        <w:tc>
          <w:tcPr>
            <w:tcW w:w="1418" w:type="dxa"/>
            <w:tcBorders>
              <w:top w:val="nil"/>
              <w:left w:val="single" w:sz="4" w:space="0" w:color="000000"/>
              <w:bottom w:val="single" w:sz="4" w:space="0" w:color="000000"/>
              <w:right w:val="nil"/>
            </w:tcBorders>
          </w:tcPr>
          <w:p>
            <w:pPr>
              <w:shd w:val="clear" w:color="000000" w:fill="auto"/>
              <w:suppressAutoHyphens/>
              <w:snapToGrid w:val="0"/>
              <w:rPr>
                <w:rFonts w:cs="Calibri"/>
                <w:sz w:val="20"/>
                <w:lang w:eastAsia="ar-SA"/>
              </w:rPr>
            </w:pPr>
          </w:p>
        </w:tc>
        <w:tc>
          <w:tcPr>
            <w:tcW w:w="3672" w:type="dxa"/>
            <w:tcBorders>
              <w:top w:val="nil"/>
              <w:left w:val="single" w:sz="4" w:space="0" w:color="000000"/>
              <w:bottom w:val="single" w:sz="4" w:space="0" w:color="000000"/>
              <w:right w:val="nil"/>
            </w:tcBorders>
          </w:tcPr>
          <w:p>
            <w:pPr>
              <w:shd w:val="clear" w:color="000000" w:fill="auto"/>
              <w:suppressAutoHyphens/>
              <w:snapToGrid w:val="0"/>
              <w:rPr>
                <w:rFonts w:cs="Calibri"/>
                <w:sz w:val="20"/>
                <w:lang w:eastAsia="ar-SA"/>
              </w:rPr>
            </w:pPr>
          </w:p>
        </w:tc>
        <w:tc>
          <w:tcPr>
            <w:tcW w:w="2317" w:type="dxa"/>
            <w:tcBorders>
              <w:top w:val="nil"/>
              <w:left w:val="single" w:sz="4" w:space="0" w:color="000000"/>
              <w:bottom w:val="single" w:sz="4" w:space="0" w:color="000000"/>
              <w:right w:val="single" w:sz="8" w:space="0" w:color="000000"/>
            </w:tcBorders>
          </w:tcPr>
          <w:p>
            <w:pPr>
              <w:shd w:val="clear" w:color="000000" w:fill="auto"/>
              <w:suppressAutoHyphens/>
              <w:snapToGrid w:val="0"/>
              <w:rPr>
                <w:rFonts w:cs="Calibri"/>
                <w:sz w:val="20"/>
                <w:lang w:eastAsia="ar-SA"/>
              </w:rPr>
            </w:pPr>
          </w:p>
        </w:tc>
      </w:tr>
      <w:tr>
        <w:trPr>
          <w:cantSplit/>
        </w:trPr>
        <w:tc>
          <w:tcPr>
            <w:tcW w:w="882" w:type="dxa"/>
            <w:tcBorders>
              <w:top w:val="nil"/>
              <w:left w:val="single" w:sz="8" w:space="0" w:color="000000"/>
              <w:bottom w:val="single" w:sz="4" w:space="0" w:color="000000"/>
              <w:right w:val="nil"/>
            </w:tcBorders>
            <w:hideMark/>
          </w:tcPr>
          <w:p>
            <w:pPr>
              <w:shd w:val="clear" w:color="000000" w:fill="auto"/>
              <w:suppressAutoHyphens/>
              <w:snapToGrid w:val="0"/>
              <w:jc w:val="center"/>
              <w:rPr>
                <w:rFonts w:cs="Calibri"/>
                <w:sz w:val="20"/>
                <w:lang w:eastAsia="ar-SA"/>
              </w:rPr>
            </w:pPr>
            <w:r>
              <w:rPr>
                <w:sz w:val="20"/>
              </w:rPr>
              <w:t xml:space="preserve">3.5. </w:t>
            </w:r>
          </w:p>
        </w:tc>
        <w:tc>
          <w:tcPr>
            <w:tcW w:w="1559" w:type="dxa"/>
            <w:tcBorders>
              <w:top w:val="nil"/>
              <w:left w:val="single" w:sz="4" w:space="0" w:color="000000"/>
              <w:bottom w:val="single" w:sz="4" w:space="0" w:color="000000"/>
              <w:right w:val="nil"/>
            </w:tcBorders>
            <w:hideMark/>
          </w:tcPr>
          <w:p>
            <w:pPr>
              <w:shd w:val="clear" w:color="000000" w:fill="auto"/>
              <w:suppressAutoHyphens/>
              <w:snapToGrid w:val="0"/>
              <w:rPr>
                <w:rFonts w:cs="Calibri"/>
                <w:sz w:val="20"/>
                <w:lang w:eastAsia="ar-SA"/>
              </w:rPr>
            </w:pPr>
            <w:r>
              <w:rPr>
                <w:sz w:val="20"/>
              </w:rPr>
              <w:t xml:space="preserve">balkonų ar lodžijų laikančiosios konstrukcijos </w:t>
            </w:r>
          </w:p>
        </w:tc>
        <w:tc>
          <w:tcPr>
            <w:tcW w:w="1418" w:type="dxa"/>
            <w:tcBorders>
              <w:top w:val="nil"/>
              <w:left w:val="single" w:sz="4" w:space="0" w:color="000000"/>
              <w:bottom w:val="single" w:sz="4" w:space="0" w:color="000000"/>
              <w:right w:val="nil"/>
            </w:tcBorders>
          </w:tcPr>
          <w:p>
            <w:pPr>
              <w:shd w:val="clear" w:color="000000" w:fill="auto"/>
              <w:suppressAutoHyphens/>
              <w:snapToGrid w:val="0"/>
              <w:rPr>
                <w:rFonts w:cs="Calibri"/>
                <w:sz w:val="20"/>
                <w:lang w:eastAsia="ar-SA"/>
              </w:rPr>
            </w:pPr>
          </w:p>
        </w:tc>
        <w:tc>
          <w:tcPr>
            <w:tcW w:w="3672" w:type="dxa"/>
            <w:tcBorders>
              <w:top w:val="nil"/>
              <w:left w:val="single" w:sz="4" w:space="0" w:color="000000"/>
              <w:bottom w:val="single" w:sz="4" w:space="0" w:color="000000"/>
              <w:right w:val="nil"/>
            </w:tcBorders>
          </w:tcPr>
          <w:p>
            <w:pPr>
              <w:shd w:val="clear" w:color="000000" w:fill="auto"/>
              <w:suppressAutoHyphens/>
              <w:snapToGrid w:val="0"/>
              <w:rPr>
                <w:rFonts w:cs="Calibri"/>
                <w:sz w:val="20"/>
                <w:lang w:eastAsia="ar-SA"/>
              </w:rPr>
            </w:pPr>
          </w:p>
        </w:tc>
        <w:tc>
          <w:tcPr>
            <w:tcW w:w="2317" w:type="dxa"/>
            <w:tcBorders>
              <w:top w:val="nil"/>
              <w:left w:val="single" w:sz="4" w:space="0" w:color="000000"/>
              <w:bottom w:val="single" w:sz="4" w:space="0" w:color="000000"/>
              <w:right w:val="single" w:sz="8" w:space="0" w:color="000000"/>
            </w:tcBorders>
          </w:tcPr>
          <w:p>
            <w:pPr>
              <w:shd w:val="clear" w:color="000000" w:fill="auto"/>
              <w:suppressAutoHyphens/>
              <w:snapToGrid w:val="0"/>
              <w:rPr>
                <w:rFonts w:cs="Calibri"/>
                <w:sz w:val="20"/>
                <w:lang w:eastAsia="ar-SA"/>
              </w:rPr>
            </w:pPr>
          </w:p>
        </w:tc>
      </w:tr>
      <w:tr>
        <w:trPr>
          <w:cantSplit/>
        </w:trPr>
        <w:tc>
          <w:tcPr>
            <w:tcW w:w="882" w:type="dxa"/>
            <w:tcBorders>
              <w:top w:val="nil"/>
              <w:left w:val="single" w:sz="8" w:space="0" w:color="000000"/>
              <w:bottom w:val="single" w:sz="4" w:space="0" w:color="000000"/>
              <w:right w:val="nil"/>
            </w:tcBorders>
            <w:hideMark/>
          </w:tcPr>
          <w:p>
            <w:pPr>
              <w:shd w:val="clear" w:color="000000" w:fill="auto"/>
              <w:suppressAutoHyphens/>
              <w:snapToGrid w:val="0"/>
              <w:jc w:val="center"/>
              <w:rPr>
                <w:rFonts w:cs="Calibri"/>
                <w:sz w:val="20"/>
                <w:lang w:eastAsia="ar-SA"/>
              </w:rPr>
            </w:pPr>
            <w:r>
              <w:rPr>
                <w:sz w:val="20"/>
              </w:rPr>
              <w:t xml:space="preserve">3.6. </w:t>
            </w:r>
          </w:p>
        </w:tc>
        <w:tc>
          <w:tcPr>
            <w:tcW w:w="1559" w:type="dxa"/>
            <w:tcBorders>
              <w:top w:val="nil"/>
              <w:left w:val="single" w:sz="4" w:space="0" w:color="000000"/>
              <w:bottom w:val="single" w:sz="4" w:space="0" w:color="000000"/>
              <w:right w:val="nil"/>
            </w:tcBorders>
            <w:hideMark/>
          </w:tcPr>
          <w:p>
            <w:pPr>
              <w:shd w:val="clear" w:color="000000" w:fill="auto"/>
              <w:suppressAutoHyphens/>
              <w:snapToGrid w:val="0"/>
              <w:rPr>
                <w:rFonts w:cs="Calibri"/>
                <w:sz w:val="20"/>
                <w:lang w:eastAsia="ar-SA"/>
              </w:rPr>
            </w:pPr>
            <w:r>
              <w:rPr>
                <w:sz w:val="20"/>
              </w:rPr>
              <w:t>rūsio perdanga</w:t>
            </w:r>
          </w:p>
        </w:tc>
        <w:tc>
          <w:tcPr>
            <w:tcW w:w="1418" w:type="dxa"/>
            <w:tcBorders>
              <w:top w:val="nil"/>
              <w:left w:val="single" w:sz="4" w:space="0" w:color="000000"/>
              <w:bottom w:val="single" w:sz="4" w:space="0" w:color="000000"/>
              <w:right w:val="nil"/>
            </w:tcBorders>
          </w:tcPr>
          <w:p>
            <w:pPr>
              <w:shd w:val="clear" w:color="000000" w:fill="auto"/>
              <w:suppressAutoHyphens/>
              <w:snapToGrid w:val="0"/>
              <w:rPr>
                <w:rFonts w:cs="Calibri"/>
                <w:sz w:val="20"/>
                <w:lang w:eastAsia="ar-SA"/>
              </w:rPr>
            </w:pPr>
          </w:p>
        </w:tc>
        <w:tc>
          <w:tcPr>
            <w:tcW w:w="3672" w:type="dxa"/>
            <w:tcBorders>
              <w:top w:val="nil"/>
              <w:left w:val="single" w:sz="4" w:space="0" w:color="000000"/>
              <w:bottom w:val="single" w:sz="4" w:space="0" w:color="000000"/>
              <w:right w:val="nil"/>
            </w:tcBorders>
          </w:tcPr>
          <w:p>
            <w:pPr>
              <w:shd w:val="clear" w:color="000000" w:fill="auto"/>
              <w:suppressAutoHyphens/>
              <w:snapToGrid w:val="0"/>
              <w:rPr>
                <w:rFonts w:cs="Calibri"/>
                <w:sz w:val="20"/>
                <w:lang w:eastAsia="ar-SA"/>
              </w:rPr>
            </w:pPr>
          </w:p>
        </w:tc>
        <w:tc>
          <w:tcPr>
            <w:tcW w:w="2317" w:type="dxa"/>
            <w:tcBorders>
              <w:top w:val="nil"/>
              <w:left w:val="single" w:sz="4" w:space="0" w:color="000000"/>
              <w:bottom w:val="single" w:sz="4" w:space="0" w:color="000000"/>
              <w:right w:val="single" w:sz="8" w:space="0" w:color="000000"/>
            </w:tcBorders>
          </w:tcPr>
          <w:p>
            <w:pPr>
              <w:shd w:val="clear" w:color="000000" w:fill="auto"/>
              <w:suppressAutoHyphens/>
              <w:snapToGrid w:val="0"/>
              <w:rPr>
                <w:rFonts w:cs="Calibri"/>
                <w:sz w:val="20"/>
                <w:lang w:eastAsia="ar-SA"/>
              </w:rPr>
            </w:pPr>
          </w:p>
        </w:tc>
      </w:tr>
      <w:tr>
        <w:trPr>
          <w:cantSplit/>
        </w:trPr>
        <w:tc>
          <w:tcPr>
            <w:tcW w:w="882" w:type="dxa"/>
            <w:tcBorders>
              <w:top w:val="nil"/>
              <w:left w:val="single" w:sz="8" w:space="0" w:color="000000"/>
              <w:bottom w:val="single" w:sz="4" w:space="0" w:color="000000"/>
              <w:right w:val="nil"/>
            </w:tcBorders>
            <w:hideMark/>
          </w:tcPr>
          <w:p>
            <w:pPr>
              <w:shd w:val="clear" w:color="000000" w:fill="auto"/>
              <w:suppressAutoHyphens/>
              <w:snapToGrid w:val="0"/>
              <w:jc w:val="center"/>
              <w:rPr>
                <w:rFonts w:cs="Calibri"/>
                <w:bCs/>
                <w:sz w:val="20"/>
                <w:lang w:eastAsia="ar-SA"/>
              </w:rPr>
            </w:pPr>
            <w:r>
              <w:rPr>
                <w:bCs/>
                <w:sz w:val="20"/>
              </w:rPr>
              <w:t>3.7.</w:t>
            </w:r>
          </w:p>
        </w:tc>
        <w:tc>
          <w:tcPr>
            <w:tcW w:w="1559" w:type="dxa"/>
            <w:tcBorders>
              <w:top w:val="nil"/>
              <w:left w:val="single" w:sz="4" w:space="0" w:color="000000"/>
              <w:bottom w:val="single" w:sz="4" w:space="0" w:color="000000"/>
              <w:right w:val="nil"/>
            </w:tcBorders>
            <w:hideMark/>
          </w:tcPr>
          <w:p>
            <w:pPr>
              <w:shd w:val="clear" w:color="000000" w:fill="auto"/>
              <w:suppressAutoHyphens/>
              <w:snapToGrid w:val="0"/>
              <w:rPr>
                <w:rFonts w:cs="Calibri"/>
                <w:sz w:val="20"/>
                <w:lang w:eastAsia="ar-SA"/>
              </w:rPr>
            </w:pPr>
            <w:r>
              <w:rPr>
                <w:sz w:val="20"/>
              </w:rPr>
              <w:t>bendrojo naudojimo patalpų langai ir lauko durys</w:t>
            </w:r>
          </w:p>
        </w:tc>
        <w:tc>
          <w:tcPr>
            <w:tcW w:w="1418" w:type="dxa"/>
            <w:tcBorders>
              <w:top w:val="nil"/>
              <w:left w:val="single" w:sz="4" w:space="0" w:color="000000"/>
              <w:bottom w:val="single" w:sz="4" w:space="0" w:color="000000"/>
              <w:right w:val="nil"/>
            </w:tcBorders>
          </w:tcPr>
          <w:p>
            <w:pPr>
              <w:shd w:val="clear" w:color="000000" w:fill="auto"/>
              <w:suppressAutoHyphens/>
              <w:snapToGrid w:val="0"/>
              <w:rPr>
                <w:rFonts w:cs="Calibri"/>
                <w:sz w:val="20"/>
                <w:lang w:eastAsia="ar-SA"/>
              </w:rPr>
            </w:pPr>
          </w:p>
        </w:tc>
        <w:tc>
          <w:tcPr>
            <w:tcW w:w="3672" w:type="dxa"/>
            <w:tcBorders>
              <w:top w:val="nil"/>
              <w:left w:val="single" w:sz="4" w:space="0" w:color="000000"/>
              <w:bottom w:val="single" w:sz="4" w:space="0" w:color="000000"/>
              <w:right w:val="nil"/>
            </w:tcBorders>
          </w:tcPr>
          <w:p>
            <w:pPr>
              <w:shd w:val="clear" w:color="000000" w:fill="auto"/>
              <w:suppressAutoHyphens/>
              <w:snapToGrid w:val="0"/>
              <w:rPr>
                <w:rFonts w:cs="Calibri"/>
                <w:sz w:val="20"/>
                <w:lang w:eastAsia="ar-SA"/>
              </w:rPr>
            </w:pPr>
          </w:p>
        </w:tc>
        <w:tc>
          <w:tcPr>
            <w:tcW w:w="2317" w:type="dxa"/>
            <w:tcBorders>
              <w:top w:val="nil"/>
              <w:left w:val="single" w:sz="4" w:space="0" w:color="000000"/>
              <w:bottom w:val="single" w:sz="4" w:space="0" w:color="000000"/>
              <w:right w:val="single" w:sz="8" w:space="0" w:color="000000"/>
            </w:tcBorders>
          </w:tcPr>
          <w:p>
            <w:pPr>
              <w:shd w:val="clear" w:color="000000" w:fill="auto"/>
              <w:suppressAutoHyphens/>
              <w:snapToGrid w:val="0"/>
              <w:rPr>
                <w:rFonts w:cs="Calibri"/>
                <w:sz w:val="20"/>
                <w:lang w:eastAsia="ar-SA"/>
              </w:rPr>
            </w:pPr>
          </w:p>
        </w:tc>
      </w:tr>
      <w:tr>
        <w:trPr>
          <w:cantSplit/>
        </w:trPr>
        <w:tc>
          <w:tcPr>
            <w:tcW w:w="882" w:type="dxa"/>
            <w:tcBorders>
              <w:top w:val="nil"/>
              <w:left w:val="single" w:sz="8" w:space="0" w:color="000000"/>
              <w:bottom w:val="single" w:sz="4" w:space="0" w:color="000000"/>
              <w:right w:val="nil"/>
            </w:tcBorders>
            <w:hideMark/>
          </w:tcPr>
          <w:p>
            <w:pPr>
              <w:shd w:val="clear" w:color="000000" w:fill="auto"/>
              <w:suppressAutoHyphens/>
              <w:snapToGrid w:val="0"/>
              <w:jc w:val="center"/>
              <w:rPr>
                <w:rFonts w:cs="Calibri"/>
                <w:sz w:val="20"/>
                <w:lang w:eastAsia="ar-SA"/>
              </w:rPr>
            </w:pPr>
            <w:r>
              <w:rPr>
                <w:sz w:val="20"/>
              </w:rPr>
              <w:t>3.8.</w:t>
            </w:r>
          </w:p>
        </w:tc>
        <w:tc>
          <w:tcPr>
            <w:tcW w:w="1559" w:type="dxa"/>
            <w:tcBorders>
              <w:top w:val="nil"/>
              <w:left w:val="single" w:sz="4" w:space="0" w:color="000000"/>
              <w:bottom w:val="single" w:sz="4" w:space="0" w:color="000000"/>
              <w:right w:val="nil"/>
            </w:tcBorders>
            <w:hideMark/>
          </w:tcPr>
          <w:p>
            <w:pPr>
              <w:shd w:val="clear" w:color="000000" w:fill="auto"/>
              <w:suppressAutoHyphens/>
              <w:snapToGrid w:val="0"/>
              <w:rPr>
                <w:rFonts w:cs="Calibri"/>
                <w:sz w:val="20"/>
                <w:lang w:eastAsia="ar-SA"/>
              </w:rPr>
            </w:pPr>
            <w:r>
              <w:rPr>
                <w:sz w:val="20"/>
              </w:rPr>
              <w:t xml:space="preserve">šildymo sistema </w:t>
            </w:r>
          </w:p>
        </w:tc>
        <w:tc>
          <w:tcPr>
            <w:tcW w:w="1418" w:type="dxa"/>
            <w:tcBorders>
              <w:top w:val="nil"/>
              <w:left w:val="single" w:sz="4" w:space="0" w:color="000000"/>
              <w:bottom w:val="single" w:sz="4" w:space="0" w:color="000000"/>
              <w:right w:val="nil"/>
            </w:tcBorders>
          </w:tcPr>
          <w:p>
            <w:pPr>
              <w:shd w:val="clear" w:color="000000" w:fill="auto"/>
              <w:suppressAutoHyphens/>
              <w:snapToGrid w:val="0"/>
              <w:rPr>
                <w:rFonts w:cs="Calibri"/>
                <w:sz w:val="20"/>
                <w:lang w:eastAsia="ar-SA"/>
              </w:rPr>
            </w:pPr>
          </w:p>
        </w:tc>
        <w:tc>
          <w:tcPr>
            <w:tcW w:w="3672" w:type="dxa"/>
            <w:tcBorders>
              <w:top w:val="nil"/>
              <w:left w:val="single" w:sz="4" w:space="0" w:color="000000"/>
              <w:bottom w:val="single" w:sz="4" w:space="0" w:color="000000"/>
              <w:right w:val="nil"/>
            </w:tcBorders>
          </w:tcPr>
          <w:p>
            <w:pPr>
              <w:shd w:val="clear" w:color="000000" w:fill="auto"/>
              <w:snapToGrid w:val="0"/>
              <w:rPr>
                <w:rFonts w:cs="Calibri"/>
                <w:sz w:val="20"/>
                <w:lang w:eastAsia="ar-SA"/>
              </w:rPr>
            </w:pPr>
          </w:p>
          <w:p>
            <w:pPr>
              <w:shd w:val="clear" w:color="000000" w:fill="auto"/>
              <w:suppressAutoHyphens/>
              <w:rPr>
                <w:rFonts w:cs="Calibri"/>
                <w:sz w:val="20"/>
                <w:lang w:eastAsia="ar-SA"/>
              </w:rPr>
            </w:pPr>
          </w:p>
        </w:tc>
        <w:tc>
          <w:tcPr>
            <w:tcW w:w="2317" w:type="dxa"/>
            <w:tcBorders>
              <w:top w:val="nil"/>
              <w:left w:val="single" w:sz="4" w:space="0" w:color="000000"/>
              <w:bottom w:val="single" w:sz="4" w:space="0" w:color="000000"/>
              <w:right w:val="single" w:sz="8" w:space="0" w:color="000000"/>
            </w:tcBorders>
          </w:tcPr>
          <w:p>
            <w:pPr>
              <w:shd w:val="clear" w:color="000000" w:fill="auto"/>
              <w:suppressAutoHyphens/>
              <w:snapToGrid w:val="0"/>
              <w:rPr>
                <w:rFonts w:cs="Calibri"/>
                <w:sz w:val="20"/>
                <w:lang w:eastAsia="ar-SA"/>
              </w:rPr>
            </w:pPr>
          </w:p>
        </w:tc>
      </w:tr>
      <w:tr>
        <w:trPr>
          <w:cantSplit/>
        </w:trPr>
        <w:tc>
          <w:tcPr>
            <w:tcW w:w="882" w:type="dxa"/>
            <w:tcBorders>
              <w:top w:val="nil"/>
              <w:left w:val="single" w:sz="8" w:space="0" w:color="000000"/>
              <w:bottom w:val="single" w:sz="4" w:space="0" w:color="000000"/>
              <w:right w:val="nil"/>
            </w:tcBorders>
            <w:hideMark/>
          </w:tcPr>
          <w:p>
            <w:pPr>
              <w:shd w:val="clear" w:color="000000" w:fill="auto"/>
              <w:suppressAutoHyphens/>
              <w:snapToGrid w:val="0"/>
              <w:jc w:val="center"/>
              <w:rPr>
                <w:rFonts w:cs="Calibri"/>
                <w:bCs/>
                <w:sz w:val="20"/>
                <w:lang w:eastAsia="ar-SA"/>
              </w:rPr>
            </w:pPr>
            <w:r>
              <w:rPr>
                <w:bCs/>
                <w:sz w:val="20"/>
              </w:rPr>
              <w:t>3.9.</w:t>
            </w:r>
          </w:p>
        </w:tc>
        <w:tc>
          <w:tcPr>
            <w:tcW w:w="1559" w:type="dxa"/>
            <w:tcBorders>
              <w:top w:val="nil"/>
              <w:left w:val="single" w:sz="4" w:space="0" w:color="000000"/>
              <w:bottom w:val="single" w:sz="4" w:space="0" w:color="000000"/>
              <w:right w:val="nil"/>
            </w:tcBorders>
            <w:hideMark/>
          </w:tcPr>
          <w:p>
            <w:pPr>
              <w:shd w:val="clear" w:color="000000" w:fill="auto"/>
              <w:suppressAutoHyphens/>
              <w:snapToGrid w:val="0"/>
              <w:rPr>
                <w:rFonts w:cs="Calibri"/>
                <w:sz w:val="20"/>
                <w:lang w:eastAsia="ar-SA"/>
              </w:rPr>
            </w:pPr>
            <w:r>
              <w:rPr>
                <w:sz w:val="20"/>
              </w:rPr>
              <w:t xml:space="preserve">karšto vandens sistemą </w:t>
            </w:r>
          </w:p>
        </w:tc>
        <w:tc>
          <w:tcPr>
            <w:tcW w:w="1418" w:type="dxa"/>
            <w:tcBorders>
              <w:top w:val="nil"/>
              <w:left w:val="single" w:sz="4" w:space="0" w:color="000000"/>
              <w:bottom w:val="single" w:sz="4" w:space="0" w:color="000000"/>
              <w:right w:val="nil"/>
            </w:tcBorders>
          </w:tcPr>
          <w:p>
            <w:pPr>
              <w:shd w:val="clear" w:color="000000" w:fill="auto"/>
              <w:suppressAutoHyphens/>
              <w:snapToGrid w:val="0"/>
              <w:rPr>
                <w:rFonts w:cs="Calibri"/>
                <w:sz w:val="20"/>
                <w:lang w:eastAsia="ar-SA"/>
              </w:rPr>
            </w:pPr>
          </w:p>
        </w:tc>
        <w:tc>
          <w:tcPr>
            <w:tcW w:w="3672" w:type="dxa"/>
            <w:tcBorders>
              <w:top w:val="nil"/>
              <w:left w:val="single" w:sz="4" w:space="0" w:color="000000"/>
              <w:bottom w:val="single" w:sz="4" w:space="0" w:color="000000"/>
              <w:right w:val="nil"/>
            </w:tcBorders>
          </w:tcPr>
          <w:p>
            <w:pPr>
              <w:shd w:val="clear" w:color="000000" w:fill="auto"/>
              <w:suppressAutoHyphens/>
              <w:snapToGrid w:val="0"/>
              <w:rPr>
                <w:rFonts w:cs="Calibri"/>
                <w:sz w:val="20"/>
                <w:lang w:eastAsia="ar-SA"/>
              </w:rPr>
            </w:pPr>
          </w:p>
        </w:tc>
        <w:tc>
          <w:tcPr>
            <w:tcW w:w="2317" w:type="dxa"/>
            <w:tcBorders>
              <w:top w:val="nil"/>
              <w:left w:val="single" w:sz="4" w:space="0" w:color="000000"/>
              <w:bottom w:val="single" w:sz="4" w:space="0" w:color="000000"/>
              <w:right w:val="single" w:sz="8" w:space="0" w:color="000000"/>
            </w:tcBorders>
          </w:tcPr>
          <w:p>
            <w:pPr>
              <w:shd w:val="clear" w:color="000000" w:fill="auto"/>
              <w:suppressAutoHyphens/>
              <w:snapToGrid w:val="0"/>
              <w:rPr>
                <w:rFonts w:cs="Calibri"/>
                <w:sz w:val="20"/>
                <w:lang w:eastAsia="ar-SA"/>
              </w:rPr>
            </w:pPr>
          </w:p>
        </w:tc>
      </w:tr>
      <w:tr>
        <w:trPr>
          <w:cantSplit/>
        </w:trPr>
        <w:tc>
          <w:tcPr>
            <w:tcW w:w="882" w:type="dxa"/>
            <w:tcBorders>
              <w:top w:val="nil"/>
              <w:left w:val="single" w:sz="8" w:space="0" w:color="000000"/>
              <w:bottom w:val="single" w:sz="4" w:space="0" w:color="000000"/>
              <w:right w:val="nil"/>
            </w:tcBorders>
            <w:hideMark/>
          </w:tcPr>
          <w:p>
            <w:pPr>
              <w:shd w:val="clear" w:color="000000" w:fill="auto"/>
              <w:suppressAutoHyphens/>
              <w:snapToGrid w:val="0"/>
              <w:jc w:val="center"/>
              <w:rPr>
                <w:rFonts w:cs="Calibri"/>
                <w:bCs/>
                <w:sz w:val="20"/>
                <w:lang w:eastAsia="ar-SA"/>
              </w:rPr>
            </w:pPr>
            <w:r>
              <w:rPr>
                <w:bCs/>
                <w:sz w:val="20"/>
              </w:rPr>
              <w:t>3.10.</w:t>
            </w:r>
          </w:p>
        </w:tc>
        <w:tc>
          <w:tcPr>
            <w:tcW w:w="1559" w:type="dxa"/>
            <w:tcBorders>
              <w:top w:val="nil"/>
              <w:left w:val="single" w:sz="4" w:space="0" w:color="000000"/>
              <w:bottom w:val="single" w:sz="4" w:space="0" w:color="000000"/>
              <w:right w:val="nil"/>
            </w:tcBorders>
            <w:hideMark/>
          </w:tcPr>
          <w:p>
            <w:pPr>
              <w:shd w:val="clear" w:color="000000" w:fill="auto"/>
              <w:suppressAutoHyphens/>
              <w:snapToGrid w:val="0"/>
              <w:rPr>
                <w:rFonts w:cs="Calibri"/>
                <w:sz w:val="20"/>
                <w:lang w:eastAsia="ar-SA"/>
              </w:rPr>
            </w:pPr>
            <w:r>
              <w:rPr>
                <w:sz w:val="20"/>
              </w:rPr>
              <w:t xml:space="preserve">vandentiekis </w:t>
            </w:r>
          </w:p>
        </w:tc>
        <w:tc>
          <w:tcPr>
            <w:tcW w:w="1418" w:type="dxa"/>
            <w:tcBorders>
              <w:top w:val="nil"/>
              <w:left w:val="single" w:sz="4" w:space="0" w:color="000000"/>
              <w:bottom w:val="single" w:sz="4" w:space="0" w:color="000000"/>
              <w:right w:val="nil"/>
            </w:tcBorders>
          </w:tcPr>
          <w:p>
            <w:pPr>
              <w:shd w:val="clear" w:color="000000" w:fill="auto"/>
              <w:suppressAutoHyphens/>
              <w:snapToGrid w:val="0"/>
              <w:rPr>
                <w:rFonts w:cs="Calibri"/>
                <w:sz w:val="20"/>
                <w:lang w:eastAsia="ar-SA"/>
              </w:rPr>
            </w:pPr>
          </w:p>
        </w:tc>
        <w:tc>
          <w:tcPr>
            <w:tcW w:w="3672" w:type="dxa"/>
            <w:tcBorders>
              <w:top w:val="nil"/>
              <w:left w:val="single" w:sz="4" w:space="0" w:color="000000"/>
              <w:bottom w:val="single" w:sz="4" w:space="0" w:color="000000"/>
              <w:right w:val="nil"/>
            </w:tcBorders>
          </w:tcPr>
          <w:p>
            <w:pPr>
              <w:shd w:val="clear" w:color="000000" w:fill="auto"/>
              <w:suppressAutoHyphens/>
              <w:snapToGrid w:val="0"/>
              <w:rPr>
                <w:rFonts w:cs="Calibri"/>
                <w:sz w:val="20"/>
                <w:lang w:eastAsia="ar-SA"/>
              </w:rPr>
            </w:pPr>
          </w:p>
        </w:tc>
        <w:tc>
          <w:tcPr>
            <w:tcW w:w="2317" w:type="dxa"/>
            <w:tcBorders>
              <w:top w:val="nil"/>
              <w:left w:val="single" w:sz="4" w:space="0" w:color="000000"/>
              <w:bottom w:val="single" w:sz="4" w:space="0" w:color="000000"/>
              <w:right w:val="single" w:sz="8" w:space="0" w:color="000000"/>
            </w:tcBorders>
          </w:tcPr>
          <w:p>
            <w:pPr>
              <w:shd w:val="clear" w:color="000000" w:fill="auto"/>
              <w:suppressAutoHyphens/>
              <w:snapToGrid w:val="0"/>
              <w:rPr>
                <w:rFonts w:cs="Calibri"/>
                <w:sz w:val="20"/>
                <w:lang w:eastAsia="ar-SA"/>
              </w:rPr>
            </w:pPr>
          </w:p>
        </w:tc>
      </w:tr>
      <w:tr>
        <w:trPr>
          <w:cantSplit/>
        </w:trPr>
        <w:tc>
          <w:tcPr>
            <w:tcW w:w="882" w:type="dxa"/>
            <w:tcBorders>
              <w:top w:val="nil"/>
              <w:left w:val="single" w:sz="8" w:space="0" w:color="000000"/>
              <w:bottom w:val="single" w:sz="4" w:space="0" w:color="000000"/>
              <w:right w:val="nil"/>
            </w:tcBorders>
            <w:hideMark/>
          </w:tcPr>
          <w:p>
            <w:pPr>
              <w:shd w:val="clear" w:color="000000" w:fill="auto"/>
              <w:suppressAutoHyphens/>
              <w:snapToGrid w:val="0"/>
              <w:jc w:val="center"/>
              <w:rPr>
                <w:rFonts w:cs="Calibri"/>
                <w:bCs/>
                <w:sz w:val="20"/>
                <w:lang w:eastAsia="ar-SA"/>
              </w:rPr>
            </w:pPr>
            <w:r>
              <w:rPr>
                <w:bCs/>
                <w:sz w:val="20"/>
              </w:rPr>
              <w:t>3.11.</w:t>
            </w:r>
          </w:p>
        </w:tc>
        <w:tc>
          <w:tcPr>
            <w:tcW w:w="1559" w:type="dxa"/>
            <w:tcBorders>
              <w:top w:val="nil"/>
              <w:left w:val="single" w:sz="4" w:space="0" w:color="000000"/>
              <w:bottom w:val="single" w:sz="4" w:space="0" w:color="000000"/>
              <w:right w:val="nil"/>
            </w:tcBorders>
            <w:hideMark/>
          </w:tcPr>
          <w:p>
            <w:pPr>
              <w:shd w:val="clear" w:color="000000" w:fill="auto"/>
              <w:suppressAutoHyphens/>
              <w:snapToGrid w:val="0"/>
              <w:rPr>
                <w:rFonts w:cs="Calibri"/>
                <w:sz w:val="20"/>
                <w:lang w:eastAsia="ar-SA"/>
              </w:rPr>
            </w:pPr>
            <w:r>
              <w:rPr>
                <w:sz w:val="20"/>
              </w:rPr>
              <w:t xml:space="preserve">nuotekų šalinimo sistema </w:t>
            </w:r>
          </w:p>
        </w:tc>
        <w:tc>
          <w:tcPr>
            <w:tcW w:w="1418" w:type="dxa"/>
            <w:tcBorders>
              <w:top w:val="nil"/>
              <w:left w:val="single" w:sz="4" w:space="0" w:color="000000"/>
              <w:bottom w:val="single" w:sz="4" w:space="0" w:color="000000"/>
              <w:right w:val="nil"/>
            </w:tcBorders>
          </w:tcPr>
          <w:p>
            <w:pPr>
              <w:shd w:val="clear" w:color="000000" w:fill="auto"/>
              <w:suppressAutoHyphens/>
              <w:snapToGrid w:val="0"/>
              <w:rPr>
                <w:rFonts w:cs="Calibri"/>
                <w:sz w:val="20"/>
                <w:lang w:eastAsia="ar-SA"/>
              </w:rPr>
            </w:pPr>
          </w:p>
        </w:tc>
        <w:tc>
          <w:tcPr>
            <w:tcW w:w="3672" w:type="dxa"/>
            <w:tcBorders>
              <w:top w:val="nil"/>
              <w:left w:val="single" w:sz="4" w:space="0" w:color="000000"/>
              <w:bottom w:val="single" w:sz="4" w:space="0" w:color="000000"/>
              <w:right w:val="nil"/>
            </w:tcBorders>
          </w:tcPr>
          <w:p>
            <w:pPr>
              <w:shd w:val="clear" w:color="000000" w:fill="auto"/>
              <w:suppressAutoHyphens/>
              <w:snapToGrid w:val="0"/>
              <w:rPr>
                <w:rFonts w:cs="Calibri"/>
                <w:sz w:val="20"/>
                <w:lang w:eastAsia="ar-SA"/>
              </w:rPr>
            </w:pPr>
          </w:p>
        </w:tc>
        <w:tc>
          <w:tcPr>
            <w:tcW w:w="2317" w:type="dxa"/>
            <w:tcBorders>
              <w:top w:val="nil"/>
              <w:left w:val="single" w:sz="4" w:space="0" w:color="000000"/>
              <w:bottom w:val="single" w:sz="4" w:space="0" w:color="000000"/>
              <w:right w:val="single" w:sz="8" w:space="0" w:color="000000"/>
            </w:tcBorders>
          </w:tcPr>
          <w:p>
            <w:pPr>
              <w:shd w:val="clear" w:color="000000" w:fill="auto"/>
              <w:suppressAutoHyphens/>
              <w:snapToGrid w:val="0"/>
              <w:rPr>
                <w:rFonts w:cs="Calibri"/>
                <w:sz w:val="20"/>
                <w:lang w:eastAsia="ar-SA"/>
              </w:rPr>
            </w:pPr>
          </w:p>
        </w:tc>
      </w:tr>
      <w:tr>
        <w:trPr>
          <w:cantSplit/>
        </w:trPr>
        <w:tc>
          <w:tcPr>
            <w:tcW w:w="882" w:type="dxa"/>
            <w:tcBorders>
              <w:top w:val="nil"/>
              <w:left w:val="single" w:sz="8" w:space="0" w:color="000000"/>
              <w:bottom w:val="single" w:sz="4" w:space="0" w:color="000000"/>
              <w:right w:val="nil"/>
            </w:tcBorders>
            <w:hideMark/>
          </w:tcPr>
          <w:p>
            <w:pPr>
              <w:shd w:val="clear" w:color="000000" w:fill="auto"/>
              <w:suppressAutoHyphens/>
              <w:snapToGrid w:val="0"/>
              <w:jc w:val="center"/>
              <w:rPr>
                <w:rFonts w:cs="Calibri"/>
                <w:sz w:val="20"/>
                <w:lang w:eastAsia="ar-SA"/>
              </w:rPr>
            </w:pPr>
            <w:r>
              <w:rPr>
                <w:sz w:val="20"/>
              </w:rPr>
              <w:t xml:space="preserve">3.12.  </w:t>
            </w:r>
          </w:p>
        </w:tc>
        <w:tc>
          <w:tcPr>
            <w:tcW w:w="1559" w:type="dxa"/>
            <w:tcBorders>
              <w:top w:val="nil"/>
              <w:left w:val="single" w:sz="4" w:space="0" w:color="000000"/>
              <w:bottom w:val="single" w:sz="4" w:space="0" w:color="000000"/>
              <w:right w:val="nil"/>
            </w:tcBorders>
            <w:hideMark/>
          </w:tcPr>
          <w:p>
            <w:pPr>
              <w:shd w:val="clear" w:color="000000" w:fill="auto"/>
              <w:suppressAutoHyphens/>
              <w:snapToGrid w:val="0"/>
              <w:rPr>
                <w:rFonts w:cs="Calibri"/>
                <w:sz w:val="20"/>
                <w:lang w:eastAsia="ar-SA"/>
              </w:rPr>
            </w:pPr>
            <w:r>
              <w:rPr>
                <w:sz w:val="20"/>
              </w:rPr>
              <w:t xml:space="preserve">vėdinimo  sistema</w:t>
            </w:r>
          </w:p>
        </w:tc>
        <w:tc>
          <w:tcPr>
            <w:tcW w:w="1418" w:type="dxa"/>
            <w:tcBorders>
              <w:top w:val="nil"/>
              <w:left w:val="single" w:sz="4" w:space="0" w:color="000000"/>
              <w:bottom w:val="single" w:sz="4" w:space="0" w:color="000000"/>
              <w:right w:val="nil"/>
            </w:tcBorders>
          </w:tcPr>
          <w:p>
            <w:pPr>
              <w:shd w:val="clear" w:color="000000" w:fill="auto"/>
              <w:suppressAutoHyphens/>
              <w:snapToGrid w:val="0"/>
              <w:rPr>
                <w:rFonts w:cs="Calibri"/>
                <w:sz w:val="20"/>
                <w:lang w:eastAsia="ar-SA"/>
              </w:rPr>
            </w:pPr>
          </w:p>
        </w:tc>
        <w:tc>
          <w:tcPr>
            <w:tcW w:w="3672" w:type="dxa"/>
            <w:tcBorders>
              <w:top w:val="nil"/>
              <w:left w:val="single" w:sz="4" w:space="0" w:color="000000"/>
              <w:bottom w:val="single" w:sz="4" w:space="0" w:color="000000"/>
              <w:right w:val="nil"/>
            </w:tcBorders>
          </w:tcPr>
          <w:p>
            <w:pPr>
              <w:shd w:val="clear" w:color="000000" w:fill="auto"/>
              <w:suppressAutoHyphens/>
              <w:snapToGrid w:val="0"/>
              <w:rPr>
                <w:rFonts w:cs="Calibri"/>
                <w:sz w:val="20"/>
                <w:lang w:eastAsia="ar-SA"/>
              </w:rPr>
            </w:pPr>
          </w:p>
        </w:tc>
        <w:tc>
          <w:tcPr>
            <w:tcW w:w="2317" w:type="dxa"/>
            <w:tcBorders>
              <w:top w:val="nil"/>
              <w:left w:val="single" w:sz="4" w:space="0" w:color="000000"/>
              <w:bottom w:val="single" w:sz="4" w:space="0" w:color="000000"/>
              <w:right w:val="single" w:sz="8" w:space="0" w:color="000000"/>
            </w:tcBorders>
          </w:tcPr>
          <w:p>
            <w:pPr>
              <w:shd w:val="clear" w:color="000000" w:fill="auto"/>
              <w:suppressAutoHyphens/>
              <w:snapToGrid w:val="0"/>
              <w:rPr>
                <w:rFonts w:cs="Calibri"/>
                <w:sz w:val="20"/>
                <w:lang w:eastAsia="ar-SA"/>
              </w:rPr>
            </w:pPr>
          </w:p>
        </w:tc>
      </w:tr>
      <w:tr>
        <w:trPr>
          <w:cantSplit/>
        </w:trPr>
        <w:tc>
          <w:tcPr>
            <w:tcW w:w="882" w:type="dxa"/>
            <w:tcBorders>
              <w:top w:val="nil"/>
              <w:left w:val="single" w:sz="8" w:space="0" w:color="000000"/>
              <w:bottom w:val="single" w:sz="4" w:space="0" w:color="000000"/>
              <w:right w:val="nil"/>
            </w:tcBorders>
            <w:hideMark/>
          </w:tcPr>
          <w:p>
            <w:pPr>
              <w:shd w:val="clear" w:color="000000" w:fill="auto"/>
              <w:suppressAutoHyphens/>
              <w:snapToGrid w:val="0"/>
              <w:jc w:val="center"/>
              <w:rPr>
                <w:rFonts w:cs="Calibri"/>
                <w:sz w:val="20"/>
                <w:lang w:eastAsia="ar-SA"/>
              </w:rPr>
            </w:pPr>
            <w:r>
              <w:rPr>
                <w:sz w:val="20"/>
              </w:rPr>
              <w:t>3.13.</w:t>
            </w:r>
          </w:p>
        </w:tc>
        <w:tc>
          <w:tcPr>
            <w:tcW w:w="1559" w:type="dxa"/>
            <w:tcBorders>
              <w:top w:val="nil"/>
              <w:left w:val="single" w:sz="4" w:space="0" w:color="000000"/>
              <w:bottom w:val="single" w:sz="4" w:space="0" w:color="000000"/>
              <w:right w:val="nil"/>
            </w:tcBorders>
            <w:hideMark/>
          </w:tcPr>
          <w:p>
            <w:pPr>
              <w:shd w:val="clear" w:color="000000" w:fill="auto"/>
              <w:suppressAutoHyphens/>
              <w:snapToGrid w:val="0"/>
              <w:rPr>
                <w:rFonts w:cs="Calibri"/>
                <w:sz w:val="20"/>
                <w:lang w:eastAsia="ar-SA"/>
              </w:rPr>
            </w:pPr>
            <w:r>
              <w:rPr>
                <w:sz w:val="20"/>
              </w:rPr>
              <w:t>bendrieji elektros ir apšvietimo įrenginiai</w:t>
            </w:r>
          </w:p>
        </w:tc>
        <w:tc>
          <w:tcPr>
            <w:tcW w:w="1418" w:type="dxa"/>
            <w:tcBorders>
              <w:top w:val="nil"/>
              <w:left w:val="single" w:sz="4" w:space="0" w:color="000000"/>
              <w:bottom w:val="single" w:sz="4" w:space="0" w:color="000000"/>
              <w:right w:val="nil"/>
            </w:tcBorders>
          </w:tcPr>
          <w:p>
            <w:pPr>
              <w:shd w:val="clear" w:color="000000" w:fill="auto"/>
              <w:suppressAutoHyphens/>
              <w:snapToGrid w:val="0"/>
              <w:rPr>
                <w:rFonts w:cs="Calibri"/>
                <w:sz w:val="20"/>
                <w:lang w:eastAsia="ar-SA"/>
              </w:rPr>
            </w:pPr>
          </w:p>
        </w:tc>
        <w:tc>
          <w:tcPr>
            <w:tcW w:w="3672" w:type="dxa"/>
            <w:tcBorders>
              <w:top w:val="nil"/>
              <w:left w:val="single" w:sz="4" w:space="0" w:color="000000"/>
              <w:bottom w:val="single" w:sz="4" w:space="0" w:color="000000"/>
              <w:right w:val="nil"/>
            </w:tcBorders>
          </w:tcPr>
          <w:p>
            <w:pPr>
              <w:shd w:val="clear" w:color="000000" w:fill="auto"/>
              <w:suppressAutoHyphens/>
              <w:snapToGrid w:val="0"/>
              <w:rPr>
                <w:rFonts w:cs="Calibri"/>
                <w:sz w:val="20"/>
                <w:lang w:eastAsia="ar-SA"/>
              </w:rPr>
            </w:pPr>
          </w:p>
        </w:tc>
        <w:tc>
          <w:tcPr>
            <w:tcW w:w="2317" w:type="dxa"/>
            <w:tcBorders>
              <w:top w:val="nil"/>
              <w:left w:val="single" w:sz="4" w:space="0" w:color="000000"/>
              <w:bottom w:val="single" w:sz="4" w:space="0" w:color="000000"/>
              <w:right w:val="single" w:sz="8" w:space="0" w:color="000000"/>
            </w:tcBorders>
          </w:tcPr>
          <w:p>
            <w:pPr>
              <w:shd w:val="clear" w:color="000000" w:fill="auto"/>
              <w:suppressAutoHyphens/>
              <w:snapToGrid w:val="0"/>
              <w:rPr>
                <w:rFonts w:cs="Calibri"/>
                <w:sz w:val="20"/>
                <w:lang w:eastAsia="ar-SA"/>
              </w:rPr>
            </w:pPr>
          </w:p>
        </w:tc>
      </w:tr>
      <w:tr>
        <w:trPr>
          <w:cantSplit/>
        </w:trPr>
        <w:tc>
          <w:tcPr>
            <w:tcW w:w="882" w:type="dxa"/>
            <w:tcBorders>
              <w:top w:val="nil"/>
              <w:left w:val="single" w:sz="8" w:space="0" w:color="000000"/>
              <w:bottom w:val="single" w:sz="4" w:space="0" w:color="000000"/>
              <w:right w:val="nil"/>
            </w:tcBorders>
            <w:hideMark/>
          </w:tcPr>
          <w:p>
            <w:pPr>
              <w:shd w:val="clear" w:color="000000" w:fill="auto"/>
              <w:suppressAutoHyphens/>
              <w:snapToGrid w:val="0"/>
              <w:jc w:val="center"/>
              <w:rPr>
                <w:rFonts w:cs="Calibri"/>
                <w:bCs/>
                <w:sz w:val="20"/>
                <w:lang w:eastAsia="ar-SA"/>
              </w:rPr>
            </w:pPr>
            <w:r>
              <w:rPr>
                <w:bCs/>
                <w:sz w:val="20"/>
              </w:rPr>
              <w:t>3.14.</w:t>
            </w:r>
          </w:p>
        </w:tc>
        <w:tc>
          <w:tcPr>
            <w:tcW w:w="1559" w:type="dxa"/>
            <w:tcBorders>
              <w:top w:val="nil"/>
              <w:left w:val="single" w:sz="4" w:space="0" w:color="000000"/>
              <w:bottom w:val="single" w:sz="4" w:space="0" w:color="000000"/>
              <w:right w:val="nil"/>
            </w:tcBorders>
            <w:hideMark/>
          </w:tcPr>
          <w:p>
            <w:pPr>
              <w:shd w:val="clear" w:color="000000" w:fill="auto"/>
              <w:suppressAutoHyphens/>
              <w:snapToGrid w:val="0"/>
              <w:rPr>
                <w:rFonts w:cs="Calibri"/>
                <w:sz w:val="20"/>
                <w:lang w:eastAsia="ar-SA"/>
              </w:rPr>
            </w:pPr>
            <w:r>
              <w:rPr>
                <w:sz w:val="20"/>
              </w:rPr>
              <w:t>liftai (jei yra)</w:t>
            </w:r>
          </w:p>
        </w:tc>
        <w:tc>
          <w:tcPr>
            <w:tcW w:w="1418" w:type="dxa"/>
            <w:tcBorders>
              <w:top w:val="nil"/>
              <w:left w:val="single" w:sz="4" w:space="0" w:color="000000"/>
              <w:bottom w:val="single" w:sz="4" w:space="0" w:color="000000"/>
              <w:right w:val="nil"/>
            </w:tcBorders>
          </w:tcPr>
          <w:p>
            <w:pPr>
              <w:shd w:val="clear" w:color="000000" w:fill="auto"/>
              <w:suppressAutoHyphens/>
              <w:snapToGrid w:val="0"/>
              <w:rPr>
                <w:rFonts w:cs="Calibri"/>
                <w:sz w:val="20"/>
                <w:lang w:eastAsia="ar-SA"/>
              </w:rPr>
            </w:pPr>
          </w:p>
        </w:tc>
        <w:tc>
          <w:tcPr>
            <w:tcW w:w="3672" w:type="dxa"/>
            <w:tcBorders>
              <w:top w:val="nil"/>
              <w:left w:val="single" w:sz="4" w:space="0" w:color="000000"/>
              <w:bottom w:val="single" w:sz="4" w:space="0" w:color="000000"/>
              <w:right w:val="nil"/>
            </w:tcBorders>
          </w:tcPr>
          <w:p>
            <w:pPr>
              <w:shd w:val="clear" w:color="000000" w:fill="auto"/>
              <w:suppressAutoHyphens/>
              <w:snapToGrid w:val="0"/>
              <w:rPr>
                <w:rFonts w:cs="Calibri"/>
                <w:sz w:val="20"/>
                <w:lang w:eastAsia="ar-SA"/>
              </w:rPr>
            </w:pPr>
          </w:p>
        </w:tc>
        <w:tc>
          <w:tcPr>
            <w:tcW w:w="2317" w:type="dxa"/>
            <w:tcBorders>
              <w:top w:val="nil"/>
              <w:left w:val="single" w:sz="4" w:space="0" w:color="000000"/>
              <w:bottom w:val="single" w:sz="4" w:space="0" w:color="000000"/>
              <w:right w:val="single" w:sz="8" w:space="0" w:color="000000"/>
            </w:tcBorders>
          </w:tcPr>
          <w:p>
            <w:pPr>
              <w:shd w:val="clear" w:color="000000" w:fill="auto"/>
              <w:suppressAutoHyphens/>
              <w:snapToGrid w:val="0"/>
              <w:rPr>
                <w:rFonts w:cs="Calibri"/>
                <w:sz w:val="20"/>
                <w:lang w:eastAsia="ar-SA"/>
              </w:rPr>
            </w:pPr>
          </w:p>
        </w:tc>
      </w:tr>
      <w:tr>
        <w:trPr>
          <w:cantSplit/>
        </w:trPr>
        <w:tc>
          <w:tcPr>
            <w:tcW w:w="882" w:type="dxa"/>
            <w:tcBorders>
              <w:top w:val="nil"/>
              <w:left w:val="single" w:sz="8" w:space="0" w:color="000000"/>
              <w:bottom w:val="single" w:sz="8" w:space="0" w:color="000000"/>
              <w:right w:val="nil"/>
            </w:tcBorders>
            <w:hideMark/>
          </w:tcPr>
          <w:p>
            <w:pPr>
              <w:shd w:val="clear" w:color="000000" w:fill="auto"/>
              <w:suppressAutoHyphens/>
              <w:snapToGrid w:val="0"/>
              <w:jc w:val="center"/>
              <w:rPr>
                <w:rFonts w:cs="Calibri"/>
                <w:sz w:val="20"/>
                <w:lang w:eastAsia="ar-SA"/>
              </w:rPr>
            </w:pPr>
            <w:r>
              <w:rPr>
                <w:sz w:val="20"/>
              </w:rPr>
              <w:t>3.15.</w:t>
            </w:r>
          </w:p>
        </w:tc>
        <w:tc>
          <w:tcPr>
            <w:tcW w:w="1559" w:type="dxa"/>
            <w:tcBorders>
              <w:top w:val="nil"/>
              <w:left w:val="single" w:sz="4" w:space="0" w:color="000000"/>
              <w:bottom w:val="single" w:sz="8" w:space="0" w:color="000000"/>
              <w:right w:val="nil"/>
            </w:tcBorders>
          </w:tcPr>
          <w:p>
            <w:pPr>
              <w:shd w:val="clear" w:color="000000" w:fill="auto"/>
              <w:snapToGrid w:val="0"/>
              <w:rPr>
                <w:rFonts w:cs="Calibri"/>
                <w:sz w:val="20"/>
                <w:lang w:eastAsia="ar-SA"/>
              </w:rPr>
            </w:pPr>
            <w:r>
              <w:rPr>
                <w:sz w:val="20"/>
              </w:rPr>
              <w:t>kita</w:t>
            </w:r>
          </w:p>
          <w:p>
            <w:pPr>
              <w:shd w:val="clear" w:color="000000" w:fill="auto"/>
              <w:rPr>
                <w:sz w:val="20"/>
              </w:rPr>
            </w:pPr>
          </w:p>
          <w:p>
            <w:pPr>
              <w:shd w:val="clear" w:color="000000" w:fill="auto"/>
              <w:suppressAutoHyphens/>
              <w:rPr>
                <w:rFonts w:cs="Calibri"/>
                <w:sz w:val="20"/>
                <w:lang w:eastAsia="ar-SA"/>
              </w:rPr>
            </w:pPr>
          </w:p>
        </w:tc>
        <w:tc>
          <w:tcPr>
            <w:tcW w:w="1418" w:type="dxa"/>
            <w:tcBorders>
              <w:top w:val="nil"/>
              <w:left w:val="single" w:sz="4" w:space="0" w:color="000000"/>
              <w:bottom w:val="single" w:sz="8" w:space="0" w:color="000000"/>
              <w:right w:val="nil"/>
            </w:tcBorders>
          </w:tcPr>
          <w:p>
            <w:pPr>
              <w:shd w:val="clear" w:color="000000" w:fill="auto"/>
              <w:suppressAutoHyphens/>
              <w:snapToGrid w:val="0"/>
              <w:rPr>
                <w:rFonts w:cs="Calibri"/>
                <w:sz w:val="20"/>
                <w:lang w:eastAsia="ar-SA"/>
              </w:rPr>
            </w:pPr>
          </w:p>
        </w:tc>
        <w:tc>
          <w:tcPr>
            <w:tcW w:w="3672" w:type="dxa"/>
            <w:tcBorders>
              <w:top w:val="nil"/>
              <w:left w:val="single" w:sz="4" w:space="0" w:color="000000"/>
              <w:bottom w:val="single" w:sz="8" w:space="0" w:color="000000"/>
              <w:right w:val="nil"/>
            </w:tcBorders>
          </w:tcPr>
          <w:p>
            <w:pPr>
              <w:shd w:val="clear" w:color="000000" w:fill="auto"/>
              <w:suppressAutoHyphens/>
              <w:snapToGrid w:val="0"/>
              <w:rPr>
                <w:rFonts w:cs="Calibri"/>
                <w:sz w:val="20"/>
                <w:lang w:eastAsia="ar-SA"/>
              </w:rPr>
            </w:pPr>
          </w:p>
        </w:tc>
        <w:tc>
          <w:tcPr>
            <w:tcW w:w="2317" w:type="dxa"/>
            <w:tcBorders>
              <w:top w:val="nil"/>
              <w:left w:val="single" w:sz="4" w:space="0" w:color="000000"/>
              <w:bottom w:val="single" w:sz="8" w:space="0" w:color="000000"/>
              <w:right w:val="single" w:sz="8" w:space="0" w:color="000000"/>
            </w:tcBorders>
          </w:tcPr>
          <w:p>
            <w:pPr>
              <w:shd w:val="clear" w:color="000000" w:fill="auto"/>
              <w:suppressAutoHyphens/>
              <w:snapToGrid w:val="0"/>
              <w:rPr>
                <w:rFonts w:cs="Calibri"/>
                <w:sz w:val="20"/>
                <w:lang w:eastAsia="ar-SA"/>
              </w:rPr>
            </w:pPr>
          </w:p>
        </w:tc>
      </w:tr>
    </w:tbl>
    <w:p>
      <w:pPr>
        <w:shd w:val="clear" w:color="000000" w:fill="auto"/>
      </w:pPr>
    </w:p>
    <w:p>
      <w:pPr>
        <w:shd w:val="clear" w:color="000000" w:fill="auto"/>
        <w:ind w:firstLine="720"/>
        <w:jc w:val="both"/>
        <w:rPr>
          <w:b/>
          <w:szCs w:val="24"/>
        </w:rPr>
      </w:pPr>
      <w:r>
        <w:rPr>
          <w:sz w:val="16"/>
          <w:szCs w:val="16"/>
        </w:rPr>
        <w:t>* Įvertinimo skalė: 4 – geras; 3 – patenkinamas; 2 – blogas (per artimiausius kelerius metus būtina remontuoti); 1 – labai blogas (būtina remontuoti nedelsiant, egzistuoja pavojus žmonių gyvybei arba galimi dideli ekonominiai nuostoliai dėl papildomų pastato pažeidimų).</w:t>
      </w:r>
    </w:p>
    <w:p>
      <w:pPr>
        <w:shd w:val="clear" w:color="000000" w:fill="auto"/>
        <w:ind w:firstLine="709"/>
        <w:rPr>
          <w:b/>
        </w:rPr>
      </w:pPr>
      <w:r>
        <w:rPr>
          <w:b/>
        </w:rPr>
        <w:t>4</w:t>
      </w:r>
      <w:r>
        <w:rPr>
          <w:b/>
        </w:rPr>
        <w:t>. Namo esamos padėties energinio naudingumo įvertinimas (sertifikavimas)</w:t>
      </w:r>
    </w:p>
    <w:p>
      <w:pPr>
        <w:shd w:val="clear" w:color="000000" w:fill="auto"/>
        <w:ind w:firstLine="720"/>
        <w:rPr>
          <w:b/>
        </w:rPr>
      </w:pPr>
      <w:r>
        <w:t>4.1</w:t>
      </w:r>
      <w:r>
        <w:t>. Šiluminės energijos sąnaudos pagal esamą padėtį, __________ metai.</w:t>
      </w:r>
    </w:p>
    <w:p>
      <w:pPr>
        <w:shd w:val="clear" w:color="000000" w:fill="auto"/>
        <w:ind w:firstLine="709"/>
        <w:rPr>
          <w:strike/>
        </w:rPr>
      </w:pPr>
      <w:r>
        <w:t>(</w:t>
      </w:r>
      <w:r>
        <w:rPr>
          <w:i/>
        </w:rPr>
        <w:t>Rodikliai nustatomi vadovaujantis Tvarkos aprašo 12 punktu).</w:t>
      </w:r>
      <w:r>
        <w:t xml:space="preserve">  </w:t>
      </w:r>
    </w:p>
    <w:p>
      <w:pPr>
        <w:shd w:val="clear" w:color="000000" w:fill="auto"/>
        <w:ind w:firstLine="8080"/>
      </w:pPr>
      <w:r>
        <w:t>3</w:t>
      </w:r>
      <w:r>
        <w:t xml:space="preserve"> lentelė</w:t>
      </w:r>
    </w:p>
    <w:tbl>
      <w:tblPr>
        <w:tblW w:w="9660" w:type="dxa"/>
        <w:tblInd w:w="107" w:type="dxa"/>
        <w:tblLayout w:type="fixed"/>
        <w:tblLook w:val="04A0" w:firstRow="1" w:lastRow="0" w:firstColumn="1" w:lastColumn="0" w:noHBand="0" w:noVBand="1"/>
      </w:tblPr>
      <w:tblGrid>
        <w:gridCol w:w="1049"/>
        <w:gridCol w:w="4278"/>
        <w:gridCol w:w="1908"/>
        <w:gridCol w:w="1135"/>
        <w:gridCol w:w="1290"/>
      </w:tblGrid>
      <w:tr>
        <w:tc>
          <w:tcPr>
            <w:tcW w:w="1049" w:type="dxa"/>
            <w:tcBorders>
              <w:top w:val="single" w:sz="4" w:space="0" w:color="000000"/>
              <w:left w:val="single" w:sz="4" w:space="0" w:color="000000"/>
              <w:bottom w:val="single" w:sz="4" w:space="0" w:color="000000"/>
              <w:right w:val="nil"/>
            </w:tcBorders>
            <w:hideMark/>
          </w:tcPr>
          <w:p>
            <w:pPr>
              <w:shd w:val="clear" w:color="000000" w:fill="auto"/>
              <w:suppressAutoHyphens/>
              <w:snapToGrid w:val="0"/>
              <w:jc w:val="center"/>
              <w:rPr>
                <w:rFonts w:cs="Calibri"/>
                <w:sz w:val="20"/>
                <w:lang w:eastAsia="ar-SA"/>
              </w:rPr>
            </w:pPr>
            <w:r>
              <w:rPr>
                <w:sz w:val="20"/>
              </w:rPr>
              <w:t>Eilės Nr.</w:t>
            </w:r>
          </w:p>
        </w:tc>
        <w:tc>
          <w:tcPr>
            <w:tcW w:w="4275" w:type="dxa"/>
            <w:tcBorders>
              <w:top w:val="single" w:sz="4" w:space="0" w:color="000000"/>
              <w:left w:val="single" w:sz="4" w:space="0" w:color="000000"/>
              <w:bottom w:val="single" w:sz="4" w:space="0" w:color="000000"/>
              <w:right w:val="nil"/>
            </w:tcBorders>
            <w:hideMark/>
          </w:tcPr>
          <w:p>
            <w:pPr>
              <w:shd w:val="clear" w:color="000000" w:fill="auto"/>
              <w:suppressAutoHyphens/>
              <w:snapToGrid w:val="0"/>
              <w:jc w:val="center"/>
              <w:rPr>
                <w:rFonts w:cs="Calibri"/>
                <w:sz w:val="20"/>
                <w:lang w:eastAsia="ar-SA"/>
              </w:rPr>
            </w:pPr>
            <w:r>
              <w:rPr>
                <w:sz w:val="20"/>
              </w:rPr>
              <w:t>Rodiklis</w:t>
            </w:r>
          </w:p>
        </w:tc>
        <w:tc>
          <w:tcPr>
            <w:tcW w:w="1907" w:type="dxa"/>
            <w:tcBorders>
              <w:top w:val="single" w:sz="4" w:space="0" w:color="000000"/>
              <w:left w:val="single" w:sz="4" w:space="0" w:color="000000"/>
              <w:bottom w:val="single" w:sz="4" w:space="0" w:color="000000"/>
              <w:right w:val="nil"/>
            </w:tcBorders>
            <w:hideMark/>
          </w:tcPr>
          <w:p>
            <w:pPr>
              <w:shd w:val="clear" w:color="000000" w:fill="auto"/>
              <w:suppressAutoHyphens/>
              <w:snapToGrid w:val="0"/>
              <w:jc w:val="center"/>
              <w:rPr>
                <w:rFonts w:cs="Calibri"/>
                <w:sz w:val="20"/>
                <w:lang w:eastAsia="ar-SA"/>
              </w:rPr>
            </w:pPr>
            <w:r>
              <w:rPr>
                <w:sz w:val="20"/>
              </w:rPr>
              <w:t>Mato vnt.</w:t>
            </w:r>
          </w:p>
        </w:tc>
        <w:tc>
          <w:tcPr>
            <w:tcW w:w="1134" w:type="dxa"/>
            <w:tcBorders>
              <w:top w:val="single" w:sz="4" w:space="0" w:color="000000"/>
              <w:left w:val="single" w:sz="4" w:space="0" w:color="000000"/>
              <w:bottom w:val="single" w:sz="4" w:space="0" w:color="000000"/>
              <w:right w:val="nil"/>
            </w:tcBorders>
            <w:hideMark/>
          </w:tcPr>
          <w:p>
            <w:pPr>
              <w:shd w:val="clear" w:color="000000" w:fill="auto"/>
              <w:suppressAutoHyphens/>
              <w:snapToGrid w:val="0"/>
              <w:jc w:val="center"/>
              <w:rPr>
                <w:rFonts w:cs="Calibri"/>
                <w:sz w:val="20"/>
                <w:lang w:eastAsia="ar-SA"/>
              </w:rPr>
            </w:pPr>
            <w:r>
              <w:rPr>
                <w:sz w:val="20"/>
              </w:rPr>
              <w:t>Kiekis</w:t>
            </w:r>
          </w:p>
        </w:tc>
        <w:tc>
          <w:tcPr>
            <w:tcW w:w="1289" w:type="dxa"/>
            <w:tcBorders>
              <w:top w:val="single" w:sz="4" w:space="0" w:color="000000"/>
              <w:left w:val="single" w:sz="4" w:space="0" w:color="000000"/>
              <w:bottom w:val="single" w:sz="4" w:space="0" w:color="000000"/>
              <w:right w:val="single" w:sz="4" w:space="0" w:color="000000"/>
            </w:tcBorders>
            <w:hideMark/>
          </w:tcPr>
          <w:p>
            <w:pPr>
              <w:shd w:val="clear" w:color="000000" w:fill="auto"/>
              <w:suppressAutoHyphens/>
              <w:snapToGrid w:val="0"/>
              <w:jc w:val="center"/>
              <w:rPr>
                <w:rFonts w:cs="Calibri"/>
                <w:sz w:val="20"/>
                <w:lang w:eastAsia="ar-SA"/>
              </w:rPr>
            </w:pPr>
            <w:r>
              <w:rPr>
                <w:sz w:val="20"/>
              </w:rPr>
              <w:t>Pastabos</w:t>
            </w:r>
          </w:p>
        </w:tc>
      </w:tr>
      <w:tr>
        <w:tc>
          <w:tcPr>
            <w:tcW w:w="1049" w:type="dxa"/>
            <w:tcBorders>
              <w:top w:val="nil"/>
              <w:left w:val="single" w:sz="4" w:space="0" w:color="000000"/>
              <w:bottom w:val="single" w:sz="4" w:space="0" w:color="000000"/>
              <w:right w:val="nil"/>
            </w:tcBorders>
            <w:hideMark/>
          </w:tcPr>
          <w:p>
            <w:pPr>
              <w:shd w:val="clear" w:color="000000" w:fill="auto"/>
              <w:suppressAutoHyphens/>
              <w:snapToGrid w:val="0"/>
              <w:jc w:val="center"/>
              <w:rPr>
                <w:rFonts w:cs="Calibri"/>
                <w:sz w:val="20"/>
                <w:lang w:eastAsia="ar-SA"/>
              </w:rPr>
            </w:pPr>
            <w:r>
              <w:rPr>
                <w:sz w:val="20"/>
              </w:rPr>
              <w:t>1</w:t>
            </w:r>
          </w:p>
        </w:tc>
        <w:tc>
          <w:tcPr>
            <w:tcW w:w="4275" w:type="dxa"/>
            <w:tcBorders>
              <w:top w:val="nil"/>
              <w:left w:val="single" w:sz="4" w:space="0" w:color="000000"/>
              <w:bottom w:val="single" w:sz="4" w:space="0" w:color="000000"/>
              <w:right w:val="nil"/>
            </w:tcBorders>
            <w:hideMark/>
          </w:tcPr>
          <w:p>
            <w:pPr>
              <w:shd w:val="clear" w:color="000000" w:fill="auto"/>
              <w:suppressAutoHyphens/>
              <w:snapToGrid w:val="0"/>
              <w:jc w:val="center"/>
              <w:rPr>
                <w:rFonts w:cs="Calibri"/>
                <w:sz w:val="20"/>
                <w:lang w:eastAsia="ar-SA"/>
              </w:rPr>
            </w:pPr>
            <w:r>
              <w:rPr>
                <w:sz w:val="20"/>
              </w:rPr>
              <w:t>2</w:t>
            </w:r>
          </w:p>
        </w:tc>
        <w:tc>
          <w:tcPr>
            <w:tcW w:w="1907" w:type="dxa"/>
            <w:tcBorders>
              <w:top w:val="nil"/>
              <w:left w:val="single" w:sz="4" w:space="0" w:color="000000"/>
              <w:bottom w:val="single" w:sz="4" w:space="0" w:color="000000"/>
              <w:right w:val="nil"/>
            </w:tcBorders>
            <w:hideMark/>
          </w:tcPr>
          <w:p>
            <w:pPr>
              <w:shd w:val="clear" w:color="000000" w:fill="auto"/>
              <w:suppressAutoHyphens/>
              <w:snapToGrid w:val="0"/>
              <w:jc w:val="center"/>
              <w:rPr>
                <w:rFonts w:cs="Calibri"/>
                <w:sz w:val="20"/>
                <w:lang w:eastAsia="ar-SA"/>
              </w:rPr>
            </w:pPr>
            <w:r>
              <w:rPr>
                <w:sz w:val="20"/>
              </w:rPr>
              <w:t>3</w:t>
            </w:r>
          </w:p>
        </w:tc>
        <w:tc>
          <w:tcPr>
            <w:tcW w:w="1134" w:type="dxa"/>
            <w:tcBorders>
              <w:top w:val="nil"/>
              <w:left w:val="single" w:sz="4" w:space="0" w:color="000000"/>
              <w:bottom w:val="single" w:sz="4" w:space="0" w:color="000000"/>
              <w:right w:val="nil"/>
            </w:tcBorders>
            <w:hideMark/>
          </w:tcPr>
          <w:p>
            <w:pPr>
              <w:shd w:val="clear" w:color="000000" w:fill="auto"/>
              <w:suppressAutoHyphens/>
              <w:snapToGrid w:val="0"/>
              <w:jc w:val="center"/>
              <w:rPr>
                <w:rFonts w:cs="Calibri"/>
                <w:sz w:val="20"/>
                <w:lang w:eastAsia="ar-SA"/>
              </w:rPr>
            </w:pPr>
            <w:r>
              <w:rPr>
                <w:sz w:val="20"/>
              </w:rPr>
              <w:t>4</w:t>
            </w:r>
          </w:p>
        </w:tc>
        <w:tc>
          <w:tcPr>
            <w:tcW w:w="1289" w:type="dxa"/>
            <w:tcBorders>
              <w:top w:val="nil"/>
              <w:left w:val="single" w:sz="4" w:space="0" w:color="000000"/>
              <w:bottom w:val="single" w:sz="4" w:space="0" w:color="000000"/>
              <w:right w:val="single" w:sz="4" w:space="0" w:color="000000"/>
            </w:tcBorders>
            <w:hideMark/>
          </w:tcPr>
          <w:p>
            <w:pPr>
              <w:shd w:val="clear" w:color="000000" w:fill="auto"/>
              <w:suppressAutoHyphens/>
              <w:snapToGrid w:val="0"/>
              <w:jc w:val="center"/>
              <w:rPr>
                <w:rFonts w:cs="Calibri"/>
                <w:sz w:val="20"/>
                <w:lang w:eastAsia="ar-SA"/>
              </w:rPr>
            </w:pPr>
            <w:r>
              <w:rPr>
                <w:sz w:val="20"/>
              </w:rPr>
              <w:t>5</w:t>
            </w:r>
          </w:p>
        </w:tc>
      </w:tr>
      <w:tr>
        <w:tc>
          <w:tcPr>
            <w:tcW w:w="1049" w:type="dxa"/>
            <w:tcBorders>
              <w:top w:val="nil"/>
              <w:left w:val="single" w:sz="4" w:space="0" w:color="000000"/>
              <w:bottom w:val="single" w:sz="4" w:space="0" w:color="000000"/>
              <w:right w:val="nil"/>
            </w:tcBorders>
            <w:hideMark/>
          </w:tcPr>
          <w:p>
            <w:pPr>
              <w:shd w:val="clear" w:color="000000" w:fill="auto"/>
              <w:suppressAutoHyphens/>
              <w:snapToGrid w:val="0"/>
              <w:rPr>
                <w:rFonts w:cs="Calibri"/>
                <w:sz w:val="20"/>
                <w:lang w:eastAsia="ar-SA"/>
              </w:rPr>
            </w:pPr>
            <w:r>
              <w:rPr>
                <w:sz w:val="20"/>
              </w:rPr>
              <w:t>4.1.1.</w:t>
            </w:r>
          </w:p>
        </w:tc>
        <w:tc>
          <w:tcPr>
            <w:tcW w:w="4275" w:type="dxa"/>
            <w:tcBorders>
              <w:top w:val="nil"/>
              <w:left w:val="single" w:sz="4" w:space="0" w:color="000000"/>
              <w:bottom w:val="single" w:sz="4" w:space="0" w:color="000000"/>
              <w:right w:val="nil"/>
            </w:tcBorders>
            <w:vAlign w:val="center"/>
            <w:hideMark/>
          </w:tcPr>
          <w:p>
            <w:pPr>
              <w:shd w:val="clear" w:color="000000" w:fill="auto"/>
              <w:suppressAutoHyphens/>
              <w:snapToGrid w:val="0"/>
              <w:rPr>
                <w:rFonts w:cs="Calibri"/>
                <w:sz w:val="20"/>
                <w:lang w:eastAsia="ar-SA"/>
              </w:rPr>
            </w:pPr>
            <w:r>
              <w:rPr>
                <w:sz w:val="20"/>
              </w:rPr>
              <w:t xml:space="preserve">skaičiuojamosios namo šiluminės energijos sąnaudos patalpų šildymui pagal energinio naudingumo sertifikato duomenis </w:t>
            </w:r>
          </w:p>
        </w:tc>
        <w:tc>
          <w:tcPr>
            <w:tcW w:w="1907" w:type="dxa"/>
            <w:tcBorders>
              <w:top w:val="nil"/>
              <w:left w:val="single" w:sz="4" w:space="0" w:color="000000"/>
              <w:bottom w:val="single" w:sz="4" w:space="0" w:color="000000"/>
              <w:right w:val="nil"/>
            </w:tcBorders>
            <w:vAlign w:val="center"/>
            <w:hideMark/>
          </w:tcPr>
          <w:p>
            <w:pPr>
              <w:shd w:val="clear" w:color="000000" w:fill="auto"/>
              <w:tabs>
                <w:tab w:val="left" w:pos="900"/>
              </w:tabs>
              <w:jc w:val="center"/>
              <w:rPr>
                <w:rFonts w:cs="Calibri"/>
                <w:sz w:val="20"/>
                <w:u w:val="single"/>
                <w:lang w:eastAsia="ar-SA"/>
              </w:rPr>
            </w:pPr>
            <w:r>
              <w:rPr>
                <w:sz w:val="20"/>
                <w:u w:val="single"/>
              </w:rPr>
              <w:t>kWh/metus</w:t>
            </w:r>
          </w:p>
          <w:p>
            <w:pPr>
              <w:shd w:val="clear" w:color="000000" w:fill="auto"/>
              <w:suppressAutoHyphens/>
              <w:snapToGrid w:val="0"/>
              <w:jc w:val="center"/>
              <w:rPr>
                <w:rFonts w:cs="Calibri"/>
                <w:sz w:val="20"/>
                <w:lang w:eastAsia="ar-SA"/>
              </w:rPr>
            </w:pPr>
            <w:r>
              <w:rPr>
                <w:sz w:val="20"/>
              </w:rPr>
              <w:t>kWh/m</w:t>
            </w:r>
            <w:r>
              <w:rPr>
                <w:sz w:val="20"/>
                <w:vertAlign w:val="superscript"/>
              </w:rPr>
              <w:t>2</w:t>
            </w:r>
            <w:r>
              <w:rPr>
                <w:sz w:val="20"/>
              </w:rPr>
              <w:t>/metus</w:t>
            </w:r>
          </w:p>
        </w:tc>
        <w:tc>
          <w:tcPr>
            <w:tcW w:w="1134" w:type="dxa"/>
            <w:tcBorders>
              <w:top w:val="nil"/>
              <w:left w:val="single" w:sz="4" w:space="0" w:color="000000"/>
              <w:bottom w:val="single" w:sz="4" w:space="0" w:color="000000"/>
              <w:right w:val="nil"/>
            </w:tcBorders>
            <w:vAlign w:val="center"/>
          </w:tcPr>
          <w:p>
            <w:pPr>
              <w:shd w:val="clear" w:color="000000" w:fill="auto"/>
              <w:suppressAutoHyphens/>
              <w:snapToGrid w:val="0"/>
              <w:rPr>
                <w:rFonts w:cs="Calibri"/>
                <w:sz w:val="20"/>
                <w:lang w:eastAsia="ar-SA"/>
              </w:rPr>
            </w:pPr>
          </w:p>
        </w:tc>
        <w:tc>
          <w:tcPr>
            <w:tcW w:w="1289" w:type="dxa"/>
            <w:tcBorders>
              <w:top w:val="nil"/>
              <w:left w:val="single" w:sz="4" w:space="0" w:color="000000"/>
              <w:bottom w:val="single" w:sz="4" w:space="0" w:color="000000"/>
              <w:right w:val="single" w:sz="4" w:space="0" w:color="000000"/>
            </w:tcBorders>
            <w:vAlign w:val="center"/>
          </w:tcPr>
          <w:p>
            <w:pPr>
              <w:shd w:val="clear" w:color="000000" w:fill="auto"/>
              <w:suppressAutoHyphens/>
              <w:snapToGrid w:val="0"/>
              <w:rPr>
                <w:rFonts w:cs="Calibri"/>
                <w:sz w:val="20"/>
                <w:lang w:eastAsia="ar-SA"/>
              </w:rPr>
            </w:pPr>
          </w:p>
        </w:tc>
      </w:tr>
      <w:tr>
        <w:tc>
          <w:tcPr>
            <w:tcW w:w="1049" w:type="dxa"/>
            <w:tcBorders>
              <w:top w:val="nil"/>
              <w:left w:val="single" w:sz="4" w:space="0" w:color="000000"/>
              <w:bottom w:val="single" w:sz="4" w:space="0" w:color="auto"/>
              <w:right w:val="nil"/>
            </w:tcBorders>
            <w:hideMark/>
          </w:tcPr>
          <w:p>
            <w:pPr>
              <w:shd w:val="clear" w:color="000000" w:fill="auto"/>
              <w:suppressAutoHyphens/>
              <w:snapToGrid w:val="0"/>
              <w:rPr>
                <w:rFonts w:cs="Calibri"/>
                <w:sz w:val="20"/>
                <w:lang w:eastAsia="ar-SA"/>
              </w:rPr>
            </w:pPr>
            <w:r>
              <w:rPr>
                <w:sz w:val="20"/>
              </w:rPr>
              <w:t>4.1.2.</w:t>
            </w:r>
          </w:p>
        </w:tc>
        <w:tc>
          <w:tcPr>
            <w:tcW w:w="4275" w:type="dxa"/>
            <w:tcBorders>
              <w:top w:val="nil"/>
              <w:left w:val="single" w:sz="4" w:space="0" w:color="000000"/>
              <w:bottom w:val="single" w:sz="4" w:space="0" w:color="auto"/>
              <w:right w:val="nil"/>
            </w:tcBorders>
            <w:vAlign w:val="center"/>
            <w:hideMark/>
          </w:tcPr>
          <w:p>
            <w:pPr>
              <w:shd w:val="clear" w:color="000000" w:fill="auto"/>
              <w:suppressAutoHyphens/>
              <w:snapToGrid w:val="0"/>
              <w:rPr>
                <w:rFonts w:cs="Calibri"/>
                <w:strike/>
                <w:sz w:val="20"/>
                <w:lang w:eastAsia="ar-SA"/>
              </w:rPr>
            </w:pPr>
            <w:r>
              <w:rPr>
                <w:sz w:val="20"/>
              </w:rPr>
              <w:t>namo energinio naudingumo klasė</w:t>
            </w:r>
          </w:p>
        </w:tc>
        <w:tc>
          <w:tcPr>
            <w:tcW w:w="1907" w:type="dxa"/>
            <w:tcBorders>
              <w:top w:val="nil"/>
              <w:left w:val="single" w:sz="4" w:space="0" w:color="000000"/>
              <w:bottom w:val="single" w:sz="4" w:space="0" w:color="auto"/>
              <w:right w:val="nil"/>
            </w:tcBorders>
            <w:vAlign w:val="center"/>
            <w:hideMark/>
          </w:tcPr>
          <w:p>
            <w:pPr>
              <w:shd w:val="clear" w:color="000000" w:fill="auto"/>
              <w:suppressAutoHyphens/>
              <w:snapToGrid w:val="0"/>
              <w:jc w:val="center"/>
              <w:rPr>
                <w:rFonts w:cs="Calibri"/>
                <w:strike/>
                <w:sz w:val="20"/>
                <w:lang w:eastAsia="ar-SA"/>
              </w:rPr>
            </w:pPr>
            <w:r>
              <w:rPr>
                <w:sz w:val="20"/>
              </w:rPr>
              <w:t>klasė</w:t>
            </w:r>
          </w:p>
        </w:tc>
        <w:tc>
          <w:tcPr>
            <w:tcW w:w="1134" w:type="dxa"/>
            <w:tcBorders>
              <w:top w:val="nil"/>
              <w:left w:val="single" w:sz="4" w:space="0" w:color="000000"/>
              <w:bottom w:val="single" w:sz="4" w:space="0" w:color="auto"/>
              <w:right w:val="nil"/>
            </w:tcBorders>
            <w:vAlign w:val="center"/>
          </w:tcPr>
          <w:p>
            <w:pPr>
              <w:shd w:val="clear" w:color="000000" w:fill="auto"/>
              <w:suppressAutoHyphens/>
              <w:snapToGrid w:val="0"/>
              <w:rPr>
                <w:rFonts w:cs="Calibri"/>
                <w:strike/>
                <w:sz w:val="20"/>
                <w:lang w:eastAsia="ar-SA"/>
              </w:rPr>
            </w:pPr>
          </w:p>
        </w:tc>
        <w:tc>
          <w:tcPr>
            <w:tcW w:w="1289" w:type="dxa"/>
            <w:tcBorders>
              <w:top w:val="nil"/>
              <w:left w:val="single" w:sz="4" w:space="0" w:color="000000"/>
              <w:bottom w:val="nil"/>
              <w:right w:val="single" w:sz="4" w:space="0" w:color="000000"/>
            </w:tcBorders>
            <w:vAlign w:val="center"/>
          </w:tcPr>
          <w:p>
            <w:pPr>
              <w:shd w:val="clear" w:color="000000" w:fill="auto"/>
              <w:suppressAutoHyphens/>
              <w:snapToGrid w:val="0"/>
              <w:rPr>
                <w:rFonts w:cs="Calibri"/>
                <w:strike/>
                <w:sz w:val="20"/>
                <w:lang w:eastAsia="ar-SA"/>
              </w:rPr>
            </w:pPr>
          </w:p>
        </w:tc>
      </w:tr>
      <w:tr>
        <w:tc>
          <w:tcPr>
            <w:tcW w:w="1049" w:type="dxa"/>
            <w:tcBorders>
              <w:top w:val="single" w:sz="4" w:space="0" w:color="auto"/>
              <w:left w:val="single" w:sz="4" w:space="0" w:color="auto"/>
              <w:bottom w:val="single" w:sz="4" w:space="0" w:color="auto"/>
              <w:right w:val="single" w:sz="4" w:space="0" w:color="auto"/>
            </w:tcBorders>
            <w:hideMark/>
          </w:tcPr>
          <w:p>
            <w:pPr>
              <w:shd w:val="clear" w:color="000000" w:fill="auto"/>
              <w:suppressAutoHyphens/>
              <w:snapToGrid w:val="0"/>
              <w:jc w:val="both"/>
              <w:rPr>
                <w:rFonts w:cs="Calibri"/>
                <w:sz w:val="20"/>
                <w:lang w:eastAsia="ar-SA"/>
              </w:rPr>
            </w:pPr>
            <w:r>
              <w:rPr>
                <w:sz w:val="20"/>
              </w:rPr>
              <w:t>4.1.3.</w:t>
            </w:r>
          </w:p>
        </w:tc>
        <w:tc>
          <w:tcPr>
            <w:tcW w:w="4275" w:type="dxa"/>
            <w:tcBorders>
              <w:top w:val="single" w:sz="4" w:space="0" w:color="auto"/>
              <w:left w:val="single" w:sz="4" w:space="0" w:color="auto"/>
              <w:bottom w:val="single" w:sz="4" w:space="0" w:color="auto"/>
              <w:right w:val="single" w:sz="4" w:space="0" w:color="auto"/>
            </w:tcBorders>
            <w:hideMark/>
          </w:tcPr>
          <w:p>
            <w:pPr>
              <w:shd w:val="clear" w:color="000000" w:fill="auto"/>
              <w:tabs>
                <w:tab w:val="left" w:pos="900"/>
              </w:tabs>
              <w:suppressAutoHyphens/>
              <w:rPr>
                <w:rFonts w:cs="Calibri"/>
                <w:sz w:val="20"/>
                <w:lang w:eastAsia="ar-SA"/>
              </w:rPr>
            </w:pPr>
            <w:r>
              <w:rPr>
                <w:sz w:val="20"/>
              </w:rPr>
              <w:t>faktinės šiluminės energijos sąnaudos namo patalpų šildymui pagal ankstesniųjų 3-jų metų iki projekto rengimo metų vidurkį</w:t>
            </w:r>
          </w:p>
        </w:tc>
        <w:tc>
          <w:tcPr>
            <w:tcW w:w="1907" w:type="dxa"/>
            <w:tcBorders>
              <w:top w:val="single" w:sz="4" w:space="0" w:color="auto"/>
              <w:left w:val="single" w:sz="4" w:space="0" w:color="auto"/>
              <w:bottom w:val="single" w:sz="4" w:space="0" w:color="auto"/>
              <w:right w:val="single" w:sz="4" w:space="0" w:color="auto"/>
            </w:tcBorders>
            <w:vAlign w:val="center"/>
            <w:hideMark/>
          </w:tcPr>
          <w:p>
            <w:pPr>
              <w:shd w:val="clear" w:color="000000" w:fill="auto"/>
              <w:tabs>
                <w:tab w:val="left" w:pos="900"/>
              </w:tabs>
              <w:jc w:val="center"/>
              <w:rPr>
                <w:rFonts w:cs="Calibri"/>
                <w:sz w:val="20"/>
                <w:u w:val="single"/>
                <w:lang w:eastAsia="ar-SA"/>
              </w:rPr>
            </w:pPr>
            <w:r>
              <w:rPr>
                <w:sz w:val="20"/>
                <w:u w:val="single"/>
              </w:rPr>
              <w:t>kWh/metus</w:t>
            </w:r>
          </w:p>
          <w:p>
            <w:pPr>
              <w:shd w:val="clear" w:color="000000" w:fill="auto"/>
              <w:suppressAutoHyphens/>
              <w:snapToGrid w:val="0"/>
              <w:jc w:val="center"/>
              <w:rPr>
                <w:rFonts w:cs="Calibri"/>
                <w:strike/>
                <w:sz w:val="20"/>
                <w:lang w:eastAsia="ar-SA"/>
              </w:rPr>
            </w:pPr>
            <w:r>
              <w:rPr>
                <w:sz w:val="20"/>
              </w:rPr>
              <w:t>kWh/m</w:t>
            </w:r>
            <w:r>
              <w:rPr>
                <w:sz w:val="20"/>
                <w:vertAlign w:val="superscript"/>
              </w:rPr>
              <w:t>2</w:t>
            </w:r>
            <w:r>
              <w:rPr>
                <w:sz w:val="20"/>
              </w:rPr>
              <w:t>/metus</w:t>
            </w:r>
          </w:p>
        </w:tc>
        <w:tc>
          <w:tcPr>
            <w:tcW w:w="1134" w:type="dxa"/>
            <w:tcBorders>
              <w:top w:val="single" w:sz="4" w:space="0" w:color="auto"/>
              <w:left w:val="single" w:sz="4" w:space="0" w:color="auto"/>
              <w:bottom w:val="single" w:sz="4" w:space="0" w:color="auto"/>
              <w:right w:val="single" w:sz="4" w:space="0" w:color="auto"/>
            </w:tcBorders>
            <w:vAlign w:val="center"/>
          </w:tcPr>
          <w:p>
            <w:pPr>
              <w:shd w:val="clear" w:color="000000" w:fill="auto"/>
              <w:suppressAutoHyphens/>
              <w:snapToGrid w:val="0"/>
              <w:rPr>
                <w:rFonts w:cs="Calibri"/>
                <w:strike/>
                <w:sz w:val="20"/>
                <w:lang w:eastAsia="ar-SA"/>
              </w:rPr>
            </w:pPr>
          </w:p>
        </w:tc>
        <w:tc>
          <w:tcPr>
            <w:tcW w:w="1289" w:type="dxa"/>
            <w:tcBorders>
              <w:top w:val="nil"/>
              <w:left w:val="single" w:sz="4" w:space="0" w:color="auto"/>
              <w:bottom w:val="nil"/>
              <w:right w:val="single" w:sz="4" w:space="0" w:color="000000"/>
            </w:tcBorders>
            <w:vAlign w:val="center"/>
          </w:tcPr>
          <w:p>
            <w:pPr>
              <w:shd w:val="clear" w:color="000000" w:fill="auto"/>
              <w:suppressAutoHyphens/>
              <w:snapToGrid w:val="0"/>
              <w:rPr>
                <w:rFonts w:cs="Calibri"/>
                <w:strike/>
                <w:sz w:val="20"/>
                <w:lang w:eastAsia="ar-SA"/>
              </w:rPr>
            </w:pPr>
          </w:p>
        </w:tc>
      </w:tr>
      <w:tr>
        <w:tc>
          <w:tcPr>
            <w:tcW w:w="1049" w:type="dxa"/>
            <w:tcBorders>
              <w:top w:val="single" w:sz="4" w:space="0" w:color="auto"/>
              <w:left w:val="single" w:sz="4" w:space="0" w:color="auto"/>
              <w:bottom w:val="single" w:sz="4" w:space="0" w:color="auto"/>
              <w:right w:val="single" w:sz="4" w:space="0" w:color="auto"/>
            </w:tcBorders>
            <w:hideMark/>
          </w:tcPr>
          <w:p>
            <w:pPr>
              <w:shd w:val="clear" w:color="000000" w:fill="auto"/>
              <w:tabs>
                <w:tab w:val="left" w:pos="900"/>
              </w:tabs>
              <w:suppressAutoHyphens/>
              <w:rPr>
                <w:rFonts w:cs="Calibri"/>
                <w:sz w:val="20"/>
                <w:lang w:eastAsia="ar-SA"/>
              </w:rPr>
            </w:pPr>
            <w:r>
              <w:rPr>
                <w:sz w:val="20"/>
              </w:rPr>
              <w:t>4.1.4.</w:t>
            </w:r>
          </w:p>
        </w:tc>
        <w:tc>
          <w:tcPr>
            <w:tcW w:w="4275" w:type="dxa"/>
            <w:tcBorders>
              <w:top w:val="single" w:sz="4" w:space="0" w:color="auto"/>
              <w:left w:val="single" w:sz="4" w:space="0" w:color="auto"/>
              <w:bottom w:val="single" w:sz="4" w:space="0" w:color="auto"/>
              <w:right w:val="single" w:sz="4" w:space="0" w:color="auto"/>
            </w:tcBorders>
            <w:hideMark/>
          </w:tcPr>
          <w:p>
            <w:pPr>
              <w:shd w:val="clear" w:color="000000" w:fill="auto"/>
              <w:tabs>
                <w:tab w:val="left" w:pos="900"/>
              </w:tabs>
              <w:suppressAutoHyphens/>
              <w:rPr>
                <w:rFonts w:cs="Calibri"/>
                <w:sz w:val="20"/>
                <w:lang w:eastAsia="ar-SA"/>
              </w:rPr>
            </w:pPr>
            <w:r>
              <w:rPr>
                <w:sz w:val="20"/>
              </w:rPr>
              <w:t>nurodytų šildymo sezonų vidutinis dienolaipsnių skaičius</w:t>
            </w:r>
          </w:p>
        </w:tc>
        <w:tc>
          <w:tcPr>
            <w:tcW w:w="1907" w:type="dxa"/>
            <w:tcBorders>
              <w:top w:val="single" w:sz="4" w:space="0" w:color="auto"/>
              <w:left w:val="single" w:sz="4" w:space="0" w:color="auto"/>
              <w:bottom w:val="single" w:sz="4" w:space="0" w:color="auto"/>
              <w:right w:val="single" w:sz="4" w:space="0" w:color="auto"/>
            </w:tcBorders>
            <w:hideMark/>
          </w:tcPr>
          <w:p>
            <w:pPr>
              <w:shd w:val="clear" w:color="000000" w:fill="auto"/>
              <w:tabs>
                <w:tab w:val="left" w:pos="900"/>
              </w:tabs>
              <w:suppressAutoHyphens/>
              <w:jc w:val="center"/>
              <w:rPr>
                <w:rFonts w:cs="Calibri"/>
                <w:sz w:val="20"/>
                <w:lang w:eastAsia="ar-SA"/>
              </w:rPr>
            </w:pPr>
            <w:r>
              <w:rPr>
                <w:sz w:val="20"/>
              </w:rPr>
              <w:t>dienolaipsnis</w:t>
            </w:r>
          </w:p>
        </w:tc>
        <w:tc>
          <w:tcPr>
            <w:tcW w:w="1134" w:type="dxa"/>
            <w:tcBorders>
              <w:top w:val="single" w:sz="4" w:space="0" w:color="auto"/>
              <w:left w:val="single" w:sz="4" w:space="0" w:color="auto"/>
              <w:bottom w:val="single" w:sz="4" w:space="0" w:color="auto"/>
              <w:right w:val="single" w:sz="4" w:space="0" w:color="auto"/>
            </w:tcBorders>
            <w:vAlign w:val="center"/>
          </w:tcPr>
          <w:p>
            <w:pPr>
              <w:shd w:val="clear" w:color="000000" w:fill="auto"/>
              <w:suppressAutoHyphens/>
              <w:snapToGrid w:val="0"/>
              <w:rPr>
                <w:rFonts w:cs="Calibri"/>
                <w:strike/>
                <w:sz w:val="20"/>
                <w:lang w:eastAsia="ar-SA"/>
              </w:rPr>
            </w:pPr>
          </w:p>
        </w:tc>
        <w:tc>
          <w:tcPr>
            <w:tcW w:w="1289" w:type="dxa"/>
            <w:tcBorders>
              <w:top w:val="nil"/>
              <w:left w:val="single" w:sz="4" w:space="0" w:color="auto"/>
              <w:bottom w:val="nil"/>
              <w:right w:val="single" w:sz="4" w:space="0" w:color="000000"/>
            </w:tcBorders>
            <w:vAlign w:val="center"/>
          </w:tcPr>
          <w:p>
            <w:pPr>
              <w:shd w:val="clear" w:color="000000" w:fill="auto"/>
              <w:suppressAutoHyphens/>
              <w:snapToGrid w:val="0"/>
              <w:rPr>
                <w:rFonts w:cs="Calibri"/>
                <w:strike/>
                <w:sz w:val="20"/>
                <w:lang w:eastAsia="ar-SA"/>
              </w:rPr>
            </w:pPr>
          </w:p>
        </w:tc>
      </w:tr>
      <w:tr>
        <w:tc>
          <w:tcPr>
            <w:tcW w:w="1049" w:type="dxa"/>
            <w:tcBorders>
              <w:top w:val="single" w:sz="4" w:space="0" w:color="auto"/>
              <w:left w:val="single" w:sz="4" w:space="0" w:color="000000"/>
              <w:bottom w:val="single" w:sz="4" w:space="0" w:color="auto"/>
              <w:right w:val="nil"/>
            </w:tcBorders>
            <w:hideMark/>
          </w:tcPr>
          <w:p>
            <w:pPr>
              <w:shd w:val="clear" w:color="000000" w:fill="auto"/>
              <w:tabs>
                <w:tab w:val="left" w:pos="900"/>
              </w:tabs>
              <w:suppressAutoHyphens/>
              <w:rPr>
                <w:rFonts w:cs="Calibri"/>
                <w:sz w:val="20"/>
                <w:lang w:eastAsia="ar-SA"/>
              </w:rPr>
            </w:pPr>
            <w:r>
              <w:rPr>
                <w:sz w:val="20"/>
              </w:rPr>
              <w:t>4.1.5.</w:t>
            </w:r>
          </w:p>
        </w:tc>
        <w:tc>
          <w:tcPr>
            <w:tcW w:w="4275" w:type="dxa"/>
            <w:tcBorders>
              <w:top w:val="single" w:sz="4" w:space="0" w:color="auto"/>
              <w:left w:val="single" w:sz="4" w:space="0" w:color="000000"/>
              <w:bottom w:val="single" w:sz="4" w:space="0" w:color="auto"/>
              <w:right w:val="nil"/>
            </w:tcBorders>
            <w:hideMark/>
          </w:tcPr>
          <w:p>
            <w:pPr>
              <w:shd w:val="clear" w:color="000000" w:fill="auto"/>
              <w:tabs>
                <w:tab w:val="left" w:pos="900"/>
              </w:tabs>
              <w:suppressAutoHyphens/>
              <w:rPr>
                <w:rFonts w:cs="Calibri"/>
                <w:sz w:val="20"/>
                <w:lang w:eastAsia="ar-SA"/>
              </w:rPr>
            </w:pPr>
            <w:r>
              <w:rPr>
                <w:sz w:val="20"/>
              </w:rPr>
              <w:t>šiluminės energijos sąnaudos patalpų šildymui vienam dienolaipsniui</w:t>
            </w:r>
          </w:p>
        </w:tc>
        <w:tc>
          <w:tcPr>
            <w:tcW w:w="1907" w:type="dxa"/>
            <w:tcBorders>
              <w:top w:val="single" w:sz="4" w:space="0" w:color="auto"/>
              <w:left w:val="single" w:sz="4" w:space="0" w:color="000000"/>
              <w:bottom w:val="single" w:sz="4" w:space="0" w:color="auto"/>
              <w:right w:val="nil"/>
            </w:tcBorders>
            <w:hideMark/>
          </w:tcPr>
          <w:p>
            <w:pPr>
              <w:shd w:val="clear" w:color="000000" w:fill="auto"/>
              <w:tabs>
                <w:tab w:val="left" w:pos="900"/>
              </w:tabs>
              <w:suppressAutoHyphens/>
              <w:jc w:val="center"/>
              <w:rPr>
                <w:rFonts w:cs="Calibri"/>
                <w:sz w:val="20"/>
                <w:lang w:eastAsia="ar-SA"/>
              </w:rPr>
            </w:pPr>
            <w:r>
              <w:rPr>
                <w:sz w:val="20"/>
              </w:rPr>
              <w:t>kWh/dienolaipsniui</w:t>
            </w:r>
          </w:p>
        </w:tc>
        <w:tc>
          <w:tcPr>
            <w:tcW w:w="1134" w:type="dxa"/>
            <w:tcBorders>
              <w:top w:val="single" w:sz="4" w:space="0" w:color="auto"/>
              <w:left w:val="single" w:sz="4" w:space="0" w:color="000000"/>
              <w:bottom w:val="single" w:sz="4" w:space="0" w:color="auto"/>
              <w:right w:val="nil"/>
            </w:tcBorders>
            <w:vAlign w:val="center"/>
          </w:tcPr>
          <w:p>
            <w:pPr>
              <w:shd w:val="clear" w:color="000000" w:fill="auto"/>
              <w:suppressAutoHyphens/>
              <w:snapToGrid w:val="0"/>
              <w:rPr>
                <w:rFonts w:cs="Calibri"/>
                <w:strike/>
                <w:sz w:val="20"/>
                <w:lang w:eastAsia="ar-SA"/>
              </w:rPr>
            </w:pPr>
          </w:p>
        </w:tc>
        <w:tc>
          <w:tcPr>
            <w:tcW w:w="1289" w:type="dxa"/>
            <w:tcBorders>
              <w:top w:val="nil"/>
              <w:left w:val="single" w:sz="4" w:space="0" w:color="000000"/>
              <w:bottom w:val="nil"/>
              <w:right w:val="single" w:sz="4" w:space="0" w:color="000000"/>
            </w:tcBorders>
            <w:vAlign w:val="center"/>
          </w:tcPr>
          <w:p>
            <w:pPr>
              <w:shd w:val="clear" w:color="000000" w:fill="auto"/>
              <w:suppressAutoHyphens/>
              <w:snapToGrid w:val="0"/>
              <w:rPr>
                <w:rFonts w:cs="Calibri"/>
                <w:strike/>
                <w:sz w:val="20"/>
                <w:lang w:eastAsia="ar-SA"/>
              </w:rPr>
            </w:pPr>
          </w:p>
        </w:tc>
      </w:tr>
      <w:tr>
        <w:tc>
          <w:tcPr>
            <w:tcW w:w="1049" w:type="dxa"/>
            <w:tcBorders>
              <w:top w:val="single" w:sz="4" w:space="0" w:color="auto"/>
              <w:left w:val="single" w:sz="4" w:space="0" w:color="000000"/>
              <w:bottom w:val="single" w:sz="4" w:space="0" w:color="auto"/>
              <w:right w:val="nil"/>
            </w:tcBorders>
          </w:tcPr>
          <w:p>
            <w:pPr>
              <w:shd w:val="clear" w:color="000000" w:fill="auto"/>
              <w:tabs>
                <w:tab w:val="left" w:pos="900"/>
              </w:tabs>
              <w:suppressAutoHyphens/>
              <w:rPr>
                <w:rFonts w:cs="Calibri"/>
                <w:sz w:val="20"/>
                <w:lang w:eastAsia="ar-SA"/>
              </w:rPr>
            </w:pPr>
          </w:p>
        </w:tc>
        <w:tc>
          <w:tcPr>
            <w:tcW w:w="4275" w:type="dxa"/>
            <w:tcBorders>
              <w:top w:val="single" w:sz="4" w:space="0" w:color="auto"/>
              <w:left w:val="single" w:sz="4" w:space="0" w:color="000000"/>
              <w:bottom w:val="single" w:sz="4" w:space="0" w:color="auto"/>
              <w:right w:val="nil"/>
            </w:tcBorders>
          </w:tcPr>
          <w:p>
            <w:pPr>
              <w:shd w:val="clear" w:color="000000" w:fill="auto"/>
              <w:tabs>
                <w:tab w:val="left" w:pos="900"/>
              </w:tabs>
              <w:suppressAutoHyphens/>
              <w:rPr>
                <w:rFonts w:cs="Calibri"/>
                <w:sz w:val="20"/>
                <w:lang w:eastAsia="ar-SA"/>
              </w:rPr>
            </w:pPr>
          </w:p>
        </w:tc>
        <w:tc>
          <w:tcPr>
            <w:tcW w:w="1907" w:type="dxa"/>
            <w:tcBorders>
              <w:top w:val="single" w:sz="4" w:space="0" w:color="auto"/>
              <w:left w:val="single" w:sz="4" w:space="0" w:color="000000"/>
              <w:bottom w:val="single" w:sz="4" w:space="0" w:color="auto"/>
              <w:right w:val="nil"/>
            </w:tcBorders>
          </w:tcPr>
          <w:p>
            <w:pPr>
              <w:shd w:val="clear" w:color="000000" w:fill="auto"/>
              <w:tabs>
                <w:tab w:val="left" w:pos="900"/>
              </w:tabs>
              <w:suppressAutoHyphens/>
              <w:jc w:val="center"/>
              <w:rPr>
                <w:rFonts w:cs="Calibri"/>
                <w:sz w:val="20"/>
                <w:lang w:eastAsia="ar-SA"/>
              </w:rPr>
            </w:pPr>
          </w:p>
        </w:tc>
        <w:tc>
          <w:tcPr>
            <w:tcW w:w="1134" w:type="dxa"/>
            <w:tcBorders>
              <w:top w:val="single" w:sz="4" w:space="0" w:color="auto"/>
              <w:left w:val="single" w:sz="4" w:space="0" w:color="000000"/>
              <w:bottom w:val="single" w:sz="4" w:space="0" w:color="auto"/>
              <w:right w:val="nil"/>
            </w:tcBorders>
            <w:vAlign w:val="center"/>
          </w:tcPr>
          <w:p>
            <w:pPr>
              <w:shd w:val="clear" w:color="000000" w:fill="auto"/>
              <w:suppressAutoHyphens/>
              <w:snapToGrid w:val="0"/>
              <w:rPr>
                <w:rFonts w:cs="Calibri"/>
                <w:strike/>
                <w:sz w:val="20"/>
                <w:lang w:eastAsia="ar-SA"/>
              </w:rPr>
            </w:pPr>
          </w:p>
        </w:tc>
        <w:tc>
          <w:tcPr>
            <w:tcW w:w="1289" w:type="dxa"/>
            <w:tcBorders>
              <w:top w:val="nil"/>
              <w:left w:val="single" w:sz="4" w:space="0" w:color="000000"/>
              <w:bottom w:val="nil"/>
              <w:right w:val="single" w:sz="4" w:space="0" w:color="000000"/>
            </w:tcBorders>
            <w:vAlign w:val="center"/>
          </w:tcPr>
          <w:p>
            <w:pPr>
              <w:shd w:val="clear" w:color="000000" w:fill="auto"/>
              <w:suppressAutoHyphens/>
              <w:snapToGrid w:val="0"/>
              <w:rPr>
                <w:rFonts w:cs="Calibri"/>
                <w:strike/>
                <w:sz w:val="20"/>
                <w:lang w:eastAsia="ar-SA"/>
              </w:rPr>
            </w:pPr>
          </w:p>
        </w:tc>
      </w:tr>
      <w:tr>
        <w:tc>
          <w:tcPr>
            <w:tcW w:w="1049" w:type="dxa"/>
            <w:tcBorders>
              <w:top w:val="single" w:sz="4" w:space="0" w:color="auto"/>
              <w:left w:val="single" w:sz="4" w:space="0" w:color="000000"/>
              <w:bottom w:val="single" w:sz="4" w:space="0" w:color="000000"/>
              <w:right w:val="nil"/>
            </w:tcBorders>
          </w:tcPr>
          <w:p>
            <w:pPr>
              <w:shd w:val="clear" w:color="000000" w:fill="auto"/>
              <w:tabs>
                <w:tab w:val="left" w:pos="900"/>
              </w:tabs>
              <w:suppressAutoHyphens/>
              <w:rPr>
                <w:rFonts w:cs="Calibri"/>
                <w:sz w:val="20"/>
                <w:lang w:eastAsia="ar-SA"/>
              </w:rPr>
            </w:pPr>
          </w:p>
        </w:tc>
        <w:tc>
          <w:tcPr>
            <w:tcW w:w="4275" w:type="dxa"/>
            <w:tcBorders>
              <w:top w:val="single" w:sz="4" w:space="0" w:color="auto"/>
              <w:left w:val="single" w:sz="4" w:space="0" w:color="000000"/>
              <w:bottom w:val="single" w:sz="4" w:space="0" w:color="000000"/>
              <w:right w:val="nil"/>
            </w:tcBorders>
          </w:tcPr>
          <w:p>
            <w:pPr>
              <w:shd w:val="clear" w:color="000000" w:fill="auto"/>
              <w:tabs>
                <w:tab w:val="left" w:pos="900"/>
              </w:tabs>
              <w:suppressAutoHyphens/>
              <w:rPr>
                <w:rFonts w:cs="Calibri"/>
                <w:sz w:val="20"/>
                <w:lang w:eastAsia="ar-SA"/>
              </w:rPr>
            </w:pPr>
          </w:p>
        </w:tc>
        <w:tc>
          <w:tcPr>
            <w:tcW w:w="1907" w:type="dxa"/>
            <w:tcBorders>
              <w:top w:val="single" w:sz="4" w:space="0" w:color="auto"/>
              <w:left w:val="single" w:sz="4" w:space="0" w:color="000000"/>
              <w:bottom w:val="single" w:sz="4" w:space="0" w:color="000000"/>
              <w:right w:val="nil"/>
            </w:tcBorders>
          </w:tcPr>
          <w:p>
            <w:pPr>
              <w:shd w:val="clear" w:color="000000" w:fill="auto"/>
              <w:tabs>
                <w:tab w:val="left" w:pos="900"/>
              </w:tabs>
              <w:suppressAutoHyphens/>
              <w:jc w:val="center"/>
              <w:rPr>
                <w:rFonts w:cs="Calibri"/>
                <w:sz w:val="20"/>
                <w:lang w:eastAsia="ar-SA"/>
              </w:rPr>
            </w:pPr>
          </w:p>
        </w:tc>
        <w:tc>
          <w:tcPr>
            <w:tcW w:w="1134" w:type="dxa"/>
            <w:tcBorders>
              <w:top w:val="single" w:sz="4" w:space="0" w:color="auto"/>
              <w:left w:val="single" w:sz="4" w:space="0" w:color="000000"/>
              <w:bottom w:val="single" w:sz="4" w:space="0" w:color="000000"/>
              <w:right w:val="nil"/>
            </w:tcBorders>
            <w:vAlign w:val="center"/>
          </w:tcPr>
          <w:p>
            <w:pPr>
              <w:shd w:val="clear" w:color="000000" w:fill="auto"/>
              <w:suppressAutoHyphens/>
              <w:snapToGrid w:val="0"/>
              <w:rPr>
                <w:rFonts w:cs="Calibri"/>
                <w:strike/>
                <w:sz w:val="20"/>
                <w:lang w:eastAsia="ar-SA"/>
              </w:rPr>
            </w:pPr>
          </w:p>
        </w:tc>
        <w:tc>
          <w:tcPr>
            <w:tcW w:w="1289" w:type="dxa"/>
            <w:tcBorders>
              <w:top w:val="nil"/>
              <w:left w:val="single" w:sz="4" w:space="0" w:color="000000"/>
              <w:bottom w:val="single" w:sz="4" w:space="0" w:color="000000"/>
              <w:right w:val="single" w:sz="4" w:space="0" w:color="000000"/>
            </w:tcBorders>
            <w:vAlign w:val="center"/>
          </w:tcPr>
          <w:p>
            <w:pPr>
              <w:shd w:val="clear" w:color="000000" w:fill="auto"/>
              <w:snapToGrid w:val="0"/>
              <w:rPr>
                <w:rFonts w:cs="Calibri"/>
                <w:strike/>
                <w:sz w:val="20"/>
                <w:lang w:eastAsia="ar-SA"/>
              </w:rPr>
            </w:pPr>
          </w:p>
          <w:p>
            <w:pPr>
              <w:shd w:val="clear" w:color="000000" w:fill="auto"/>
              <w:suppressAutoHyphens/>
              <w:snapToGrid w:val="0"/>
              <w:rPr>
                <w:rFonts w:cs="Calibri"/>
                <w:strike/>
                <w:sz w:val="20"/>
                <w:lang w:eastAsia="ar-SA"/>
              </w:rPr>
            </w:pPr>
          </w:p>
        </w:tc>
      </w:tr>
    </w:tbl>
    <w:p>
      <w:pPr>
        <w:shd w:val="clear" w:color="000000" w:fill="auto"/>
        <w:snapToGrid w:val="0"/>
        <w:rPr>
          <w:rFonts w:cs="Calibri"/>
          <w:lang w:eastAsia="ar-SA"/>
        </w:rPr>
      </w:pPr>
    </w:p>
    <w:p>
      <w:pPr>
        <w:shd w:val="clear" w:color="000000" w:fill="auto"/>
        <w:snapToGrid w:val="0"/>
        <w:ind w:firstLine="709"/>
        <w:jc w:val="both"/>
      </w:pPr>
      <w:r>
        <w:t>4.2</w:t>
      </w:r>
      <w:r>
        <w:t>. pagrindinės šilumos nuostolių priežastys pagal namo esamos padėties energinio naudingumo sertifikato duomenis (</w:t>
      </w:r>
      <w:r>
        <w:rPr>
          <w:i/>
        </w:rPr>
        <w:t>nurodyti</w:t>
      </w:r>
      <w:r>
        <w:t>):</w:t>
      </w:r>
    </w:p>
    <w:p>
      <w:pPr>
        <w:shd w:val="clear" w:color="000000" w:fill="auto"/>
        <w:snapToGrid w:val="0"/>
        <w:ind w:firstLine="709"/>
      </w:pPr>
      <w:r>
        <w:t>4.2.1</w:t>
      </w:r>
      <w:r>
        <w:t>.</w:t>
      </w:r>
    </w:p>
    <w:p>
      <w:pPr>
        <w:shd w:val="clear" w:color="000000" w:fill="auto"/>
        <w:snapToGrid w:val="0"/>
        <w:ind w:firstLine="709"/>
      </w:pPr>
      <w:r>
        <w:t>4.2.2</w:t>
      </w:r>
      <w:r>
        <w:t>. ir t. t.</w:t>
      </w:r>
    </w:p>
    <w:p>
      <w:pPr>
        <w:shd w:val="clear" w:color="000000" w:fill="auto"/>
        <w:snapToGrid w:val="0"/>
        <w:ind w:firstLine="709"/>
      </w:pPr>
    </w:p>
    <w:p>
      <w:pPr>
        <w:shd w:val="clear" w:color="000000" w:fill="auto"/>
        <w:snapToGrid w:val="0"/>
        <w:ind w:firstLine="709"/>
        <w:rPr>
          <w:b/>
          <w:bCs/>
          <w:szCs w:val="24"/>
        </w:rPr>
      </w:pPr>
      <w:r>
        <w:rPr>
          <w:b/>
          <w:bCs/>
        </w:rPr>
        <w:t>5</w:t>
      </w:r>
      <w:r>
        <w:rPr>
          <w:b/>
          <w:bCs/>
        </w:rPr>
        <w:t xml:space="preserve">. Numatomos įgyvendinti namo atnaujinimo (modernizavimo) priemonės: </w:t>
      </w:r>
    </w:p>
    <w:p>
      <w:pPr>
        <w:shd w:val="clear" w:color="000000" w:fill="auto"/>
        <w:ind w:firstLine="709"/>
        <w:jc w:val="both"/>
      </w:pPr>
    </w:p>
    <w:p>
      <w:pPr>
        <w:shd w:val="clear" w:color="000000" w:fill="auto"/>
        <w:ind w:firstLine="709"/>
        <w:jc w:val="both"/>
      </w:pPr>
      <w:r>
        <w:t>(</w:t>
      </w:r>
      <w:r>
        <w:rPr>
          <w:i/>
        </w:rPr>
        <w:t>Jei projekto techninėje užduotyje numatytas skirtingų variantų palyginimas, numatomos priemonės pateikiamos pagal variantus</w:t>
      </w:r>
      <w:r>
        <w:t>).</w:t>
      </w:r>
    </w:p>
    <w:p>
      <w:pPr>
        <w:ind w:firstLine="8080"/>
      </w:pPr>
      <w:r>
        <w:t>4</w:t>
      </w:r>
      <w:r>
        <w:t xml:space="preserve"> lentelė</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7"/>
        <w:gridCol w:w="2444"/>
        <w:gridCol w:w="2409"/>
        <w:gridCol w:w="1526"/>
        <w:gridCol w:w="1026"/>
        <w:gridCol w:w="887"/>
        <w:gridCol w:w="530"/>
      </w:tblGrid>
      <w:tr>
        <w:tc>
          <w:tcPr>
            <w:tcW w:w="817" w:type="dxa"/>
            <w:vMerge w:val="restart"/>
            <w:tcBorders>
              <w:top w:val="single" w:sz="4" w:space="0" w:color="auto"/>
              <w:left w:val="single" w:sz="4" w:space="0" w:color="auto"/>
              <w:bottom w:val="single" w:sz="4" w:space="0" w:color="auto"/>
              <w:right w:val="single" w:sz="4" w:space="0" w:color="auto"/>
            </w:tcBorders>
            <w:vAlign w:val="center"/>
            <w:hideMark/>
          </w:tcPr>
          <w:p>
            <w:pPr>
              <w:tabs>
                <w:tab w:val="left" w:pos="-1843"/>
              </w:tabs>
              <w:suppressAutoHyphens/>
              <w:spacing w:line="276" w:lineRule="auto"/>
              <w:jc w:val="center"/>
              <w:rPr>
                <w:sz w:val="20"/>
                <w:lang w:eastAsia="lt-LT"/>
              </w:rPr>
            </w:pPr>
            <w:r>
              <w:rPr>
                <w:sz w:val="20"/>
                <w:lang w:eastAsia="lt-LT"/>
              </w:rPr>
              <w:t>Eil. Nr.</w:t>
            </w:r>
          </w:p>
        </w:tc>
        <w:tc>
          <w:tcPr>
            <w:tcW w:w="2444" w:type="dxa"/>
            <w:vMerge w:val="restart"/>
            <w:tcBorders>
              <w:top w:val="single" w:sz="4" w:space="0" w:color="auto"/>
              <w:left w:val="single" w:sz="4" w:space="0" w:color="auto"/>
              <w:bottom w:val="single" w:sz="4" w:space="0" w:color="auto"/>
              <w:right w:val="single" w:sz="4" w:space="0" w:color="auto"/>
            </w:tcBorders>
            <w:vAlign w:val="center"/>
            <w:hideMark/>
          </w:tcPr>
          <w:p>
            <w:pPr>
              <w:tabs>
                <w:tab w:val="left" w:pos="-1843"/>
              </w:tabs>
              <w:suppressAutoHyphens/>
              <w:spacing w:line="276" w:lineRule="auto"/>
              <w:jc w:val="center"/>
              <w:rPr>
                <w:sz w:val="20"/>
                <w:lang w:eastAsia="lt-LT"/>
              </w:rPr>
            </w:pPr>
            <w:r>
              <w:rPr>
                <w:sz w:val="20"/>
                <w:lang w:eastAsia="lt-LT"/>
              </w:rPr>
              <w:t>Priemonės pavadinimas</w:t>
            </w:r>
          </w:p>
        </w:tc>
        <w:tc>
          <w:tcPr>
            <w:tcW w:w="3935" w:type="dxa"/>
            <w:gridSpan w:val="2"/>
            <w:tcBorders>
              <w:top w:val="single" w:sz="4" w:space="0" w:color="auto"/>
              <w:left w:val="single" w:sz="4" w:space="0" w:color="auto"/>
              <w:bottom w:val="single" w:sz="4" w:space="0" w:color="auto"/>
              <w:right w:val="single" w:sz="4" w:space="0" w:color="auto"/>
            </w:tcBorders>
            <w:vAlign w:val="center"/>
            <w:hideMark/>
          </w:tcPr>
          <w:p>
            <w:pPr>
              <w:tabs>
                <w:tab w:val="left" w:pos="-1843"/>
              </w:tabs>
              <w:suppressAutoHyphens/>
              <w:spacing w:line="276" w:lineRule="auto"/>
              <w:jc w:val="center"/>
              <w:rPr>
                <w:sz w:val="20"/>
                <w:lang w:eastAsia="lt-LT"/>
              </w:rPr>
            </w:pPr>
            <w:r>
              <w:rPr>
                <w:sz w:val="20"/>
                <w:lang w:eastAsia="lt-LT"/>
              </w:rPr>
              <w:t xml:space="preserve">Numatomi priemonių techniniai –  energiniai rodikliai</w:t>
            </w:r>
          </w:p>
        </w:tc>
        <w:tc>
          <w:tcPr>
            <w:tcW w:w="1026" w:type="dxa"/>
            <w:vMerge w:val="restart"/>
            <w:tcBorders>
              <w:top w:val="single" w:sz="4" w:space="0" w:color="auto"/>
              <w:left w:val="single" w:sz="4" w:space="0" w:color="auto"/>
              <w:right w:val="single" w:sz="4" w:space="0" w:color="auto"/>
            </w:tcBorders>
            <w:vAlign w:val="center"/>
          </w:tcPr>
          <w:p>
            <w:pPr>
              <w:tabs>
                <w:tab w:val="left" w:pos="-1843"/>
              </w:tabs>
              <w:suppressAutoHyphens/>
              <w:spacing w:line="276" w:lineRule="auto"/>
              <w:jc w:val="both"/>
              <w:rPr>
                <w:sz w:val="20"/>
                <w:lang w:eastAsia="lt-LT"/>
              </w:rPr>
            </w:pPr>
            <w:r>
              <w:rPr>
                <w:sz w:val="20"/>
                <w:lang w:eastAsia="lt-LT"/>
              </w:rPr>
              <w:t>Darbų kiekis</w:t>
            </w:r>
          </w:p>
          <w:p>
            <w:pPr>
              <w:tabs>
                <w:tab w:val="left" w:pos="-1843"/>
              </w:tabs>
              <w:suppressAutoHyphens/>
              <w:spacing w:line="276" w:lineRule="auto"/>
              <w:jc w:val="both"/>
              <w:rPr>
                <w:sz w:val="20"/>
                <w:lang w:eastAsia="lt-LT"/>
              </w:rPr>
            </w:pPr>
            <w:r>
              <w:rPr>
                <w:sz w:val="20"/>
                <w:lang w:eastAsia="lt-LT"/>
              </w:rPr>
              <w:t>(m</w:t>
            </w:r>
            <w:r>
              <w:rPr>
                <w:sz w:val="20"/>
                <w:vertAlign w:val="superscript"/>
                <w:lang w:eastAsia="lt-LT"/>
              </w:rPr>
              <w:t>2</w:t>
            </w:r>
            <w:r>
              <w:rPr>
                <w:sz w:val="20"/>
                <w:lang w:eastAsia="lt-LT"/>
              </w:rPr>
              <w:t>, m, vnt., kompl.,butas)</w:t>
            </w:r>
          </w:p>
          <w:p>
            <w:pPr>
              <w:tabs>
                <w:tab w:val="left" w:pos="-1843"/>
              </w:tabs>
              <w:suppressAutoHyphens/>
              <w:spacing w:line="276" w:lineRule="auto"/>
              <w:jc w:val="both"/>
              <w:rPr>
                <w:sz w:val="20"/>
                <w:lang w:eastAsia="lt-LT"/>
              </w:rPr>
            </w:pPr>
          </w:p>
        </w:tc>
        <w:tc>
          <w:tcPr>
            <w:tcW w:w="887" w:type="dxa"/>
            <w:vMerge w:val="restart"/>
            <w:tcBorders>
              <w:top w:val="single" w:sz="4" w:space="0" w:color="auto"/>
              <w:left w:val="single" w:sz="4" w:space="0" w:color="auto"/>
              <w:right w:val="single" w:sz="4" w:space="0" w:color="auto"/>
            </w:tcBorders>
            <w:textDirection w:val="btLr"/>
          </w:tcPr>
          <w:p>
            <w:pPr>
              <w:tabs>
                <w:tab w:val="left" w:pos="-1843"/>
              </w:tabs>
              <w:suppressAutoHyphens/>
              <w:spacing w:line="276" w:lineRule="auto"/>
              <w:ind w:left="113" w:right="113"/>
              <w:jc w:val="center"/>
              <w:rPr>
                <w:sz w:val="20"/>
                <w:lang w:eastAsia="lt-LT"/>
              </w:rPr>
            </w:pPr>
            <w:r>
              <w:rPr>
                <w:sz w:val="20"/>
                <w:lang w:eastAsia="lt-LT"/>
              </w:rPr>
              <w:t>Skaičiuojamoji kaina, Eur</w:t>
            </w:r>
          </w:p>
        </w:tc>
        <w:tc>
          <w:tcPr>
            <w:tcW w:w="530" w:type="dxa"/>
            <w:vMerge w:val="restart"/>
            <w:tcBorders>
              <w:top w:val="single" w:sz="4" w:space="0" w:color="auto"/>
              <w:left w:val="single" w:sz="4" w:space="0" w:color="auto"/>
              <w:right w:val="single" w:sz="4" w:space="0" w:color="auto"/>
            </w:tcBorders>
            <w:textDirection w:val="btLr"/>
          </w:tcPr>
          <w:p>
            <w:pPr>
              <w:tabs>
                <w:tab w:val="left" w:pos="-1843"/>
              </w:tabs>
              <w:suppressAutoHyphens/>
              <w:spacing w:line="276" w:lineRule="auto"/>
              <w:ind w:left="113" w:right="113"/>
              <w:jc w:val="center"/>
              <w:rPr>
                <w:sz w:val="20"/>
                <w:lang w:eastAsia="lt-LT"/>
              </w:rPr>
            </w:pPr>
            <w:r>
              <w:rPr>
                <w:sz w:val="20"/>
                <w:lang w:eastAsia="lt-LT"/>
              </w:rPr>
              <w:t>Įkainis, Eur</w:t>
            </w:r>
          </w:p>
        </w:tc>
      </w:tr>
      <w:tr>
        <w:tc>
          <w:tcPr>
            <w:tcW w:w="817" w:type="dxa"/>
            <w:vMerge/>
            <w:tcBorders>
              <w:top w:val="single" w:sz="4" w:space="0" w:color="auto"/>
              <w:left w:val="single" w:sz="4" w:space="0" w:color="auto"/>
              <w:bottom w:val="single" w:sz="4" w:space="0" w:color="auto"/>
              <w:right w:val="single" w:sz="4" w:space="0" w:color="auto"/>
            </w:tcBorders>
            <w:vAlign w:val="center"/>
            <w:hideMark/>
          </w:tcPr>
          <w:p>
            <w:pPr>
              <w:tabs>
                <w:tab w:val="left" w:pos="-1843"/>
              </w:tabs>
              <w:suppressAutoHyphens/>
              <w:spacing w:line="276" w:lineRule="auto"/>
              <w:jc w:val="both"/>
              <w:rPr>
                <w:sz w:val="20"/>
                <w:lang w:eastAsia="lt-LT"/>
              </w:rPr>
            </w:pPr>
          </w:p>
        </w:tc>
        <w:tc>
          <w:tcPr>
            <w:tcW w:w="2444" w:type="dxa"/>
            <w:vMerge/>
            <w:tcBorders>
              <w:top w:val="single" w:sz="4" w:space="0" w:color="auto"/>
              <w:left w:val="single" w:sz="4" w:space="0" w:color="auto"/>
              <w:bottom w:val="single" w:sz="4" w:space="0" w:color="auto"/>
              <w:right w:val="single" w:sz="4" w:space="0" w:color="auto"/>
            </w:tcBorders>
            <w:vAlign w:val="center"/>
            <w:hideMark/>
          </w:tcPr>
          <w:p>
            <w:pPr>
              <w:tabs>
                <w:tab w:val="left" w:pos="-1843"/>
              </w:tabs>
              <w:suppressAutoHyphens/>
              <w:spacing w:line="276" w:lineRule="auto"/>
              <w:jc w:val="both"/>
              <w:rPr>
                <w:sz w:val="20"/>
                <w:lang w:eastAsia="lt-LT"/>
              </w:rPr>
            </w:pPr>
          </w:p>
        </w:tc>
        <w:tc>
          <w:tcPr>
            <w:tcW w:w="2409" w:type="dxa"/>
            <w:tcBorders>
              <w:top w:val="single" w:sz="4" w:space="0" w:color="auto"/>
              <w:left w:val="single" w:sz="4" w:space="0" w:color="auto"/>
              <w:bottom w:val="single" w:sz="4" w:space="0" w:color="auto"/>
              <w:right w:val="single" w:sz="4" w:space="0" w:color="auto"/>
            </w:tcBorders>
            <w:vAlign w:val="center"/>
          </w:tcPr>
          <w:p>
            <w:pPr>
              <w:tabs>
                <w:tab w:val="left" w:pos="-1843"/>
              </w:tabs>
              <w:suppressAutoHyphens/>
              <w:spacing w:line="276" w:lineRule="auto"/>
              <w:jc w:val="center"/>
              <w:rPr>
                <w:sz w:val="20"/>
                <w:lang w:eastAsia="lt-LT"/>
              </w:rPr>
            </w:pPr>
            <w:r>
              <w:rPr>
                <w:sz w:val="20"/>
                <w:lang w:eastAsia="lt-LT"/>
              </w:rPr>
              <w:t>Trumpas priemonės aprašymas nurodant konstrukcinių sprendimų principus, techninės įrangos charakteristikas ir pan.</w:t>
            </w:r>
            <w:r>
              <w:rPr>
                <w:b/>
                <w:sz w:val="20"/>
                <w:lang w:eastAsia="lt-LT"/>
              </w:rPr>
              <w:t xml:space="preserve"> **</w:t>
            </w:r>
          </w:p>
        </w:tc>
        <w:tc>
          <w:tcPr>
            <w:tcW w:w="1526" w:type="dxa"/>
            <w:tcBorders>
              <w:top w:val="single" w:sz="4" w:space="0" w:color="auto"/>
              <w:left w:val="single" w:sz="4" w:space="0" w:color="auto"/>
              <w:bottom w:val="single" w:sz="4" w:space="0" w:color="auto"/>
              <w:right w:val="single" w:sz="4" w:space="0" w:color="auto"/>
            </w:tcBorders>
            <w:vAlign w:val="center"/>
          </w:tcPr>
          <w:p>
            <w:pPr>
              <w:tabs>
                <w:tab w:val="left" w:pos="-1843"/>
              </w:tabs>
              <w:suppressAutoHyphens/>
              <w:spacing w:line="276" w:lineRule="auto"/>
              <w:jc w:val="center"/>
              <w:rPr>
                <w:sz w:val="20"/>
                <w:lang w:eastAsia="lt-LT"/>
              </w:rPr>
            </w:pPr>
            <w:r>
              <w:rPr>
                <w:sz w:val="20"/>
                <w:lang w:eastAsia="lt-LT"/>
              </w:rPr>
              <w:t>Atitvaros šilumos perdavimo koeficientas, U (W/m</w:t>
            </w:r>
            <w:r>
              <w:rPr>
                <w:sz w:val="20"/>
                <w:vertAlign w:val="superscript"/>
                <w:lang w:eastAsia="lt-LT"/>
              </w:rPr>
              <w:t>2</w:t>
            </w:r>
            <w:r>
              <w:rPr>
                <w:sz w:val="20"/>
                <w:lang w:eastAsia="lt-LT"/>
              </w:rPr>
              <w:t>K) ir (ar) kiti rodikliai *</w:t>
            </w:r>
          </w:p>
        </w:tc>
        <w:tc>
          <w:tcPr>
            <w:tcW w:w="1026" w:type="dxa"/>
            <w:vMerge/>
            <w:tcBorders>
              <w:left w:val="single" w:sz="4" w:space="0" w:color="auto"/>
              <w:bottom w:val="single" w:sz="4" w:space="0" w:color="auto"/>
              <w:right w:val="single" w:sz="4" w:space="0" w:color="auto"/>
            </w:tcBorders>
            <w:vAlign w:val="center"/>
          </w:tcPr>
          <w:p>
            <w:pPr>
              <w:tabs>
                <w:tab w:val="left" w:pos="-1843"/>
              </w:tabs>
              <w:suppressAutoHyphens/>
              <w:spacing w:line="276" w:lineRule="auto"/>
              <w:jc w:val="both"/>
              <w:rPr>
                <w:sz w:val="20"/>
                <w:lang w:eastAsia="lt-LT"/>
              </w:rPr>
            </w:pPr>
          </w:p>
        </w:tc>
        <w:tc>
          <w:tcPr>
            <w:tcW w:w="887" w:type="dxa"/>
            <w:vMerge/>
            <w:tcBorders>
              <w:left w:val="single" w:sz="4" w:space="0" w:color="auto"/>
              <w:bottom w:val="single" w:sz="4" w:space="0" w:color="auto"/>
              <w:right w:val="single" w:sz="4" w:space="0" w:color="auto"/>
            </w:tcBorders>
          </w:tcPr>
          <w:p>
            <w:pPr>
              <w:tabs>
                <w:tab w:val="left" w:pos="-1843"/>
              </w:tabs>
              <w:suppressAutoHyphens/>
              <w:spacing w:line="276" w:lineRule="auto"/>
              <w:jc w:val="center"/>
              <w:rPr>
                <w:sz w:val="20"/>
                <w:lang w:eastAsia="lt-LT"/>
              </w:rPr>
            </w:pPr>
          </w:p>
        </w:tc>
        <w:tc>
          <w:tcPr>
            <w:tcW w:w="530" w:type="dxa"/>
            <w:vMerge/>
            <w:tcBorders>
              <w:left w:val="single" w:sz="4" w:space="0" w:color="auto"/>
              <w:bottom w:val="single" w:sz="4" w:space="0" w:color="auto"/>
              <w:right w:val="single" w:sz="4" w:space="0" w:color="auto"/>
            </w:tcBorders>
          </w:tcPr>
          <w:p>
            <w:pPr>
              <w:tabs>
                <w:tab w:val="left" w:pos="-1843"/>
              </w:tabs>
              <w:suppressAutoHyphens/>
              <w:spacing w:line="276" w:lineRule="auto"/>
              <w:jc w:val="center"/>
              <w:rPr>
                <w:sz w:val="20"/>
                <w:lang w:eastAsia="lt-LT"/>
              </w:rPr>
            </w:pPr>
          </w:p>
        </w:tc>
      </w:tr>
      <w:tr>
        <w:tc>
          <w:tcPr>
            <w:tcW w:w="817" w:type="dxa"/>
            <w:tcBorders>
              <w:top w:val="single" w:sz="4" w:space="0" w:color="auto"/>
              <w:left w:val="single" w:sz="4" w:space="0" w:color="auto"/>
              <w:bottom w:val="single" w:sz="4" w:space="0" w:color="auto"/>
              <w:right w:val="single" w:sz="4" w:space="0" w:color="auto"/>
            </w:tcBorders>
            <w:hideMark/>
          </w:tcPr>
          <w:p>
            <w:pPr>
              <w:tabs>
                <w:tab w:val="left" w:pos="-1843"/>
              </w:tabs>
              <w:suppressAutoHyphens/>
              <w:spacing w:line="276" w:lineRule="auto"/>
              <w:jc w:val="center"/>
              <w:rPr>
                <w:sz w:val="20"/>
                <w:lang w:eastAsia="lt-LT"/>
              </w:rPr>
            </w:pPr>
            <w:r>
              <w:rPr>
                <w:sz w:val="20"/>
                <w:lang w:eastAsia="lt-LT"/>
              </w:rPr>
              <w:t>1</w:t>
            </w:r>
          </w:p>
        </w:tc>
        <w:tc>
          <w:tcPr>
            <w:tcW w:w="2444" w:type="dxa"/>
            <w:tcBorders>
              <w:top w:val="single" w:sz="4" w:space="0" w:color="auto"/>
              <w:left w:val="single" w:sz="4" w:space="0" w:color="auto"/>
              <w:bottom w:val="single" w:sz="4" w:space="0" w:color="auto"/>
              <w:right w:val="single" w:sz="4" w:space="0" w:color="auto"/>
            </w:tcBorders>
            <w:hideMark/>
          </w:tcPr>
          <w:p>
            <w:pPr>
              <w:tabs>
                <w:tab w:val="left" w:pos="-1843"/>
              </w:tabs>
              <w:suppressAutoHyphens/>
              <w:spacing w:line="276" w:lineRule="auto"/>
              <w:jc w:val="center"/>
              <w:rPr>
                <w:sz w:val="20"/>
                <w:lang w:eastAsia="lt-LT"/>
              </w:rPr>
            </w:pPr>
            <w:r>
              <w:rPr>
                <w:sz w:val="20"/>
                <w:lang w:eastAsia="lt-LT"/>
              </w:rPr>
              <w:t>2</w:t>
            </w:r>
          </w:p>
        </w:tc>
        <w:tc>
          <w:tcPr>
            <w:tcW w:w="2409" w:type="dxa"/>
            <w:tcBorders>
              <w:top w:val="single" w:sz="4" w:space="0" w:color="auto"/>
              <w:left w:val="single" w:sz="4" w:space="0" w:color="auto"/>
              <w:bottom w:val="single" w:sz="4" w:space="0" w:color="auto"/>
              <w:right w:val="single" w:sz="4" w:space="0" w:color="auto"/>
            </w:tcBorders>
            <w:hideMark/>
          </w:tcPr>
          <w:p>
            <w:pPr>
              <w:tabs>
                <w:tab w:val="left" w:pos="-1843"/>
              </w:tabs>
              <w:suppressAutoHyphens/>
              <w:spacing w:line="276" w:lineRule="auto"/>
              <w:jc w:val="center"/>
              <w:rPr>
                <w:sz w:val="20"/>
                <w:lang w:eastAsia="lt-LT"/>
              </w:rPr>
            </w:pPr>
            <w:r>
              <w:rPr>
                <w:sz w:val="20"/>
                <w:lang w:eastAsia="lt-LT"/>
              </w:rPr>
              <w:t>3</w:t>
            </w:r>
          </w:p>
        </w:tc>
        <w:tc>
          <w:tcPr>
            <w:tcW w:w="1526" w:type="dxa"/>
            <w:tcBorders>
              <w:top w:val="single" w:sz="4" w:space="0" w:color="auto"/>
              <w:left w:val="single" w:sz="4" w:space="0" w:color="auto"/>
              <w:bottom w:val="single" w:sz="4" w:space="0" w:color="auto"/>
              <w:right w:val="single" w:sz="4" w:space="0" w:color="auto"/>
            </w:tcBorders>
            <w:hideMark/>
          </w:tcPr>
          <w:p>
            <w:pPr>
              <w:tabs>
                <w:tab w:val="left" w:pos="-1843"/>
              </w:tabs>
              <w:suppressAutoHyphens/>
              <w:spacing w:line="276" w:lineRule="auto"/>
              <w:jc w:val="center"/>
              <w:rPr>
                <w:sz w:val="20"/>
                <w:lang w:eastAsia="lt-LT"/>
              </w:rPr>
            </w:pPr>
            <w:r>
              <w:rPr>
                <w:sz w:val="20"/>
                <w:lang w:eastAsia="lt-LT"/>
              </w:rPr>
              <w:t>4</w:t>
            </w:r>
          </w:p>
        </w:tc>
        <w:tc>
          <w:tcPr>
            <w:tcW w:w="1026" w:type="dxa"/>
            <w:tcBorders>
              <w:top w:val="single" w:sz="4" w:space="0" w:color="auto"/>
              <w:left w:val="single" w:sz="4" w:space="0" w:color="auto"/>
              <w:bottom w:val="single" w:sz="4" w:space="0" w:color="auto"/>
              <w:right w:val="single" w:sz="4" w:space="0" w:color="auto"/>
            </w:tcBorders>
            <w:hideMark/>
          </w:tcPr>
          <w:p>
            <w:pPr>
              <w:tabs>
                <w:tab w:val="left" w:pos="-1843"/>
              </w:tabs>
              <w:suppressAutoHyphens/>
              <w:spacing w:line="276" w:lineRule="auto"/>
              <w:jc w:val="center"/>
              <w:rPr>
                <w:sz w:val="20"/>
                <w:lang w:eastAsia="lt-LT"/>
              </w:rPr>
            </w:pPr>
            <w:r>
              <w:rPr>
                <w:sz w:val="20"/>
                <w:lang w:eastAsia="lt-LT"/>
              </w:rPr>
              <w:t>5</w:t>
            </w:r>
          </w:p>
        </w:tc>
        <w:tc>
          <w:tcPr>
            <w:tcW w:w="887" w:type="dxa"/>
            <w:tcBorders>
              <w:top w:val="single" w:sz="4" w:space="0" w:color="auto"/>
              <w:left w:val="single" w:sz="4" w:space="0" w:color="auto"/>
              <w:bottom w:val="single" w:sz="4" w:space="0" w:color="auto"/>
              <w:right w:val="single" w:sz="4" w:space="0" w:color="auto"/>
            </w:tcBorders>
          </w:tcPr>
          <w:p>
            <w:pPr>
              <w:tabs>
                <w:tab w:val="left" w:pos="-1843"/>
              </w:tabs>
              <w:suppressAutoHyphens/>
              <w:spacing w:line="276" w:lineRule="auto"/>
              <w:jc w:val="center"/>
              <w:rPr>
                <w:sz w:val="20"/>
                <w:lang w:eastAsia="lt-LT"/>
              </w:rPr>
            </w:pPr>
            <w:r>
              <w:rPr>
                <w:sz w:val="20"/>
                <w:lang w:eastAsia="lt-LT"/>
              </w:rPr>
              <w:t>6</w:t>
            </w:r>
          </w:p>
        </w:tc>
        <w:tc>
          <w:tcPr>
            <w:tcW w:w="530" w:type="dxa"/>
            <w:tcBorders>
              <w:top w:val="single" w:sz="4" w:space="0" w:color="auto"/>
              <w:left w:val="single" w:sz="4" w:space="0" w:color="auto"/>
              <w:bottom w:val="single" w:sz="4" w:space="0" w:color="auto"/>
              <w:right w:val="single" w:sz="4" w:space="0" w:color="auto"/>
            </w:tcBorders>
          </w:tcPr>
          <w:p>
            <w:pPr>
              <w:tabs>
                <w:tab w:val="left" w:pos="-1843"/>
              </w:tabs>
              <w:suppressAutoHyphens/>
              <w:spacing w:line="276" w:lineRule="auto"/>
              <w:jc w:val="center"/>
              <w:rPr>
                <w:b/>
                <w:bCs/>
                <w:sz w:val="20"/>
                <w:lang w:eastAsia="lt-LT"/>
              </w:rPr>
            </w:pPr>
            <w:r>
              <w:rPr>
                <w:b/>
                <w:bCs/>
                <w:sz w:val="20"/>
                <w:lang w:eastAsia="lt-LT"/>
              </w:rPr>
              <w:t>7</w:t>
            </w:r>
          </w:p>
        </w:tc>
      </w:tr>
      <w:tr>
        <w:tc>
          <w:tcPr>
            <w:tcW w:w="817" w:type="dxa"/>
            <w:tcBorders>
              <w:top w:val="single" w:sz="4" w:space="0" w:color="auto"/>
              <w:left w:val="single" w:sz="4" w:space="0" w:color="auto"/>
              <w:bottom w:val="single" w:sz="4" w:space="0" w:color="auto"/>
              <w:right w:val="single" w:sz="4" w:space="0" w:color="auto"/>
            </w:tcBorders>
            <w:hideMark/>
          </w:tcPr>
          <w:p>
            <w:pPr>
              <w:tabs>
                <w:tab w:val="left" w:pos="-1843"/>
              </w:tabs>
              <w:suppressAutoHyphens/>
              <w:spacing w:line="276" w:lineRule="auto"/>
              <w:jc w:val="both"/>
              <w:rPr>
                <w:sz w:val="20"/>
                <w:lang w:eastAsia="lt-LT"/>
              </w:rPr>
            </w:pPr>
            <w:r>
              <w:rPr>
                <w:sz w:val="20"/>
                <w:lang w:eastAsia="lt-LT"/>
              </w:rPr>
              <w:t>5.1.</w:t>
            </w:r>
          </w:p>
        </w:tc>
        <w:tc>
          <w:tcPr>
            <w:tcW w:w="2444" w:type="dxa"/>
            <w:tcBorders>
              <w:top w:val="single" w:sz="4" w:space="0" w:color="auto"/>
              <w:left w:val="single" w:sz="4" w:space="0" w:color="auto"/>
              <w:bottom w:val="single" w:sz="4" w:space="0" w:color="auto"/>
              <w:right w:val="single" w:sz="4" w:space="0" w:color="auto"/>
            </w:tcBorders>
            <w:hideMark/>
          </w:tcPr>
          <w:p>
            <w:pPr>
              <w:tabs>
                <w:tab w:val="left" w:pos="-1843"/>
              </w:tabs>
              <w:suppressAutoHyphens/>
              <w:spacing w:line="276" w:lineRule="auto"/>
              <w:jc w:val="both"/>
              <w:rPr>
                <w:sz w:val="20"/>
                <w:lang w:eastAsia="lt-LT"/>
              </w:rPr>
            </w:pPr>
            <w:r>
              <w:rPr>
                <w:sz w:val="20"/>
                <w:lang w:eastAsia="lt-LT"/>
              </w:rPr>
              <w:t>energijos efektyvumą didinančios priemonės</w:t>
            </w:r>
          </w:p>
        </w:tc>
        <w:tc>
          <w:tcPr>
            <w:tcW w:w="2409" w:type="dxa"/>
            <w:tcBorders>
              <w:top w:val="single" w:sz="4" w:space="0" w:color="auto"/>
              <w:left w:val="single" w:sz="4" w:space="0" w:color="auto"/>
              <w:bottom w:val="single" w:sz="4" w:space="0" w:color="auto"/>
              <w:right w:val="single" w:sz="4" w:space="0" w:color="auto"/>
            </w:tcBorders>
          </w:tcPr>
          <w:p>
            <w:pPr>
              <w:tabs>
                <w:tab w:val="left" w:pos="-1843"/>
              </w:tabs>
              <w:suppressAutoHyphens/>
              <w:spacing w:line="276" w:lineRule="auto"/>
              <w:jc w:val="both"/>
              <w:rPr>
                <w:sz w:val="20"/>
                <w:lang w:eastAsia="lt-LT"/>
              </w:rPr>
            </w:pPr>
          </w:p>
        </w:tc>
        <w:tc>
          <w:tcPr>
            <w:tcW w:w="1526" w:type="dxa"/>
            <w:tcBorders>
              <w:top w:val="single" w:sz="4" w:space="0" w:color="auto"/>
              <w:left w:val="single" w:sz="4" w:space="0" w:color="auto"/>
              <w:bottom w:val="single" w:sz="4" w:space="0" w:color="auto"/>
              <w:right w:val="single" w:sz="4" w:space="0" w:color="auto"/>
            </w:tcBorders>
          </w:tcPr>
          <w:p>
            <w:pPr>
              <w:tabs>
                <w:tab w:val="left" w:pos="-1843"/>
              </w:tabs>
              <w:suppressAutoHyphens/>
              <w:spacing w:line="276" w:lineRule="auto"/>
              <w:jc w:val="both"/>
              <w:rPr>
                <w:sz w:val="20"/>
                <w:lang w:eastAsia="lt-LT"/>
              </w:rPr>
            </w:pPr>
          </w:p>
        </w:tc>
        <w:tc>
          <w:tcPr>
            <w:tcW w:w="1026" w:type="dxa"/>
            <w:tcBorders>
              <w:top w:val="single" w:sz="4" w:space="0" w:color="auto"/>
              <w:left w:val="single" w:sz="4" w:space="0" w:color="auto"/>
              <w:bottom w:val="single" w:sz="4" w:space="0" w:color="auto"/>
              <w:right w:val="single" w:sz="4" w:space="0" w:color="auto"/>
            </w:tcBorders>
          </w:tcPr>
          <w:p>
            <w:pPr>
              <w:tabs>
                <w:tab w:val="left" w:pos="-1843"/>
              </w:tabs>
              <w:suppressAutoHyphens/>
              <w:spacing w:line="276" w:lineRule="auto"/>
              <w:jc w:val="both"/>
              <w:rPr>
                <w:sz w:val="20"/>
                <w:lang w:eastAsia="lt-LT"/>
              </w:rPr>
            </w:pPr>
          </w:p>
        </w:tc>
        <w:tc>
          <w:tcPr>
            <w:tcW w:w="887" w:type="dxa"/>
            <w:tcBorders>
              <w:top w:val="single" w:sz="4" w:space="0" w:color="auto"/>
              <w:left w:val="single" w:sz="4" w:space="0" w:color="auto"/>
              <w:right w:val="single" w:sz="4" w:space="0" w:color="auto"/>
            </w:tcBorders>
          </w:tcPr>
          <w:p>
            <w:pPr>
              <w:tabs>
                <w:tab w:val="left" w:pos="-1843"/>
              </w:tabs>
              <w:suppressAutoHyphens/>
              <w:spacing w:line="276" w:lineRule="auto"/>
              <w:jc w:val="both"/>
              <w:rPr>
                <w:sz w:val="20"/>
                <w:lang w:eastAsia="lt-LT"/>
              </w:rPr>
            </w:pPr>
          </w:p>
        </w:tc>
        <w:tc>
          <w:tcPr>
            <w:tcW w:w="530" w:type="dxa"/>
            <w:tcBorders>
              <w:top w:val="single" w:sz="4" w:space="0" w:color="auto"/>
              <w:left w:val="single" w:sz="4" w:space="0" w:color="auto"/>
              <w:right w:val="single" w:sz="4" w:space="0" w:color="auto"/>
            </w:tcBorders>
          </w:tcPr>
          <w:p>
            <w:pPr>
              <w:tabs>
                <w:tab w:val="left" w:pos="-1843"/>
              </w:tabs>
              <w:suppressAutoHyphens/>
              <w:spacing w:line="276" w:lineRule="auto"/>
              <w:jc w:val="both"/>
              <w:rPr>
                <w:sz w:val="20"/>
                <w:lang w:eastAsia="lt-LT"/>
              </w:rPr>
            </w:pPr>
          </w:p>
        </w:tc>
      </w:tr>
      <w:tr>
        <w:tc>
          <w:tcPr>
            <w:tcW w:w="817" w:type="dxa"/>
            <w:tcBorders>
              <w:top w:val="single" w:sz="4" w:space="0" w:color="auto"/>
              <w:left w:val="single" w:sz="4" w:space="0" w:color="auto"/>
              <w:bottom w:val="single" w:sz="4" w:space="0" w:color="auto"/>
              <w:right w:val="single" w:sz="4" w:space="0" w:color="auto"/>
            </w:tcBorders>
            <w:hideMark/>
          </w:tcPr>
          <w:p>
            <w:pPr>
              <w:tabs>
                <w:tab w:val="left" w:pos="-1843"/>
              </w:tabs>
              <w:suppressAutoHyphens/>
              <w:spacing w:line="276" w:lineRule="auto"/>
              <w:jc w:val="both"/>
              <w:rPr>
                <w:sz w:val="20"/>
                <w:lang w:eastAsia="lt-LT"/>
              </w:rPr>
            </w:pPr>
            <w:r>
              <w:rPr>
                <w:sz w:val="20"/>
                <w:lang w:eastAsia="lt-LT"/>
              </w:rPr>
              <w:t>5.1.1.</w:t>
            </w:r>
          </w:p>
        </w:tc>
        <w:tc>
          <w:tcPr>
            <w:tcW w:w="2444" w:type="dxa"/>
            <w:tcBorders>
              <w:top w:val="single" w:sz="4" w:space="0" w:color="auto"/>
              <w:left w:val="single" w:sz="4" w:space="0" w:color="auto"/>
              <w:bottom w:val="single" w:sz="4" w:space="0" w:color="auto"/>
              <w:right w:val="single" w:sz="4" w:space="0" w:color="auto"/>
            </w:tcBorders>
          </w:tcPr>
          <w:p>
            <w:pPr>
              <w:tabs>
                <w:tab w:val="left" w:pos="-1843"/>
              </w:tabs>
              <w:suppressAutoHyphens/>
              <w:spacing w:line="276" w:lineRule="auto"/>
              <w:jc w:val="both"/>
              <w:rPr>
                <w:sz w:val="20"/>
                <w:lang w:eastAsia="lt-LT"/>
              </w:rPr>
            </w:pPr>
            <w:r>
              <w:rPr>
                <w:sz w:val="20"/>
                <w:lang w:eastAsia="lt-LT"/>
              </w:rPr>
              <w:t>šilumos punkto ar katilinės įrengimas, keitimas, pertvarkymas arba individualių katilų ir (ar) karšto vandens ruošimo įrenginių įrengimas ar keitimas</w:t>
            </w:r>
          </w:p>
        </w:tc>
        <w:tc>
          <w:tcPr>
            <w:tcW w:w="2409" w:type="dxa"/>
            <w:tcBorders>
              <w:top w:val="single" w:sz="4" w:space="0" w:color="auto"/>
              <w:left w:val="single" w:sz="4" w:space="0" w:color="auto"/>
              <w:bottom w:val="single" w:sz="4" w:space="0" w:color="auto"/>
              <w:right w:val="single" w:sz="4" w:space="0" w:color="auto"/>
            </w:tcBorders>
          </w:tcPr>
          <w:p>
            <w:pPr>
              <w:tabs>
                <w:tab w:val="left" w:pos="-1843"/>
              </w:tabs>
              <w:suppressAutoHyphens/>
              <w:spacing w:line="276" w:lineRule="auto"/>
              <w:jc w:val="both"/>
              <w:rPr>
                <w:sz w:val="20"/>
                <w:lang w:eastAsia="lt-LT"/>
              </w:rPr>
            </w:pPr>
          </w:p>
        </w:tc>
        <w:tc>
          <w:tcPr>
            <w:tcW w:w="1526" w:type="dxa"/>
            <w:tcBorders>
              <w:top w:val="single" w:sz="4" w:space="0" w:color="auto"/>
              <w:left w:val="single" w:sz="4" w:space="0" w:color="auto"/>
              <w:bottom w:val="single" w:sz="4" w:space="0" w:color="auto"/>
              <w:right w:val="single" w:sz="4" w:space="0" w:color="auto"/>
            </w:tcBorders>
          </w:tcPr>
          <w:p>
            <w:pPr>
              <w:tabs>
                <w:tab w:val="left" w:pos="-1843"/>
              </w:tabs>
              <w:suppressAutoHyphens/>
              <w:spacing w:line="276" w:lineRule="auto"/>
              <w:jc w:val="both"/>
              <w:rPr>
                <w:sz w:val="20"/>
                <w:lang w:eastAsia="lt-LT"/>
              </w:rPr>
            </w:pPr>
          </w:p>
        </w:tc>
        <w:tc>
          <w:tcPr>
            <w:tcW w:w="1026" w:type="dxa"/>
            <w:tcBorders>
              <w:top w:val="single" w:sz="4" w:space="0" w:color="auto"/>
              <w:left w:val="single" w:sz="4" w:space="0" w:color="auto"/>
              <w:bottom w:val="single" w:sz="4" w:space="0" w:color="auto"/>
              <w:right w:val="single" w:sz="4" w:space="0" w:color="auto"/>
            </w:tcBorders>
          </w:tcPr>
          <w:p>
            <w:pPr>
              <w:tabs>
                <w:tab w:val="left" w:pos="-1843"/>
              </w:tabs>
              <w:suppressAutoHyphens/>
              <w:spacing w:line="276" w:lineRule="auto"/>
              <w:jc w:val="both"/>
              <w:rPr>
                <w:sz w:val="20"/>
                <w:lang w:eastAsia="lt-LT"/>
              </w:rPr>
            </w:pPr>
            <w:r>
              <w:rPr>
                <w:sz w:val="20"/>
                <w:lang w:eastAsia="lt-LT"/>
              </w:rPr>
              <w:t>kompl.</w:t>
            </w:r>
          </w:p>
        </w:tc>
        <w:tc>
          <w:tcPr>
            <w:tcW w:w="887" w:type="dxa"/>
            <w:tcBorders>
              <w:left w:val="single" w:sz="4" w:space="0" w:color="auto"/>
              <w:right w:val="single" w:sz="4" w:space="0" w:color="auto"/>
            </w:tcBorders>
          </w:tcPr>
          <w:p>
            <w:pPr>
              <w:tabs>
                <w:tab w:val="left" w:pos="-1843"/>
              </w:tabs>
              <w:suppressAutoHyphens/>
              <w:spacing w:line="276" w:lineRule="auto"/>
              <w:jc w:val="both"/>
              <w:rPr>
                <w:sz w:val="20"/>
                <w:lang w:eastAsia="lt-LT"/>
              </w:rPr>
            </w:pPr>
          </w:p>
        </w:tc>
        <w:tc>
          <w:tcPr>
            <w:tcW w:w="530" w:type="dxa"/>
            <w:tcBorders>
              <w:left w:val="single" w:sz="4" w:space="0" w:color="auto"/>
              <w:right w:val="single" w:sz="4" w:space="0" w:color="auto"/>
            </w:tcBorders>
          </w:tcPr>
          <w:p>
            <w:pPr>
              <w:tabs>
                <w:tab w:val="left" w:pos="-1843"/>
              </w:tabs>
              <w:suppressAutoHyphens/>
              <w:spacing w:line="276" w:lineRule="auto"/>
              <w:jc w:val="both"/>
              <w:rPr>
                <w:sz w:val="20"/>
                <w:lang w:eastAsia="lt-LT"/>
              </w:rPr>
            </w:pPr>
          </w:p>
        </w:tc>
      </w:tr>
      <w:tr>
        <w:tc>
          <w:tcPr>
            <w:tcW w:w="817" w:type="dxa"/>
            <w:tcBorders>
              <w:top w:val="single" w:sz="4" w:space="0" w:color="auto"/>
              <w:left w:val="single" w:sz="4" w:space="0" w:color="auto"/>
              <w:bottom w:val="single" w:sz="4" w:space="0" w:color="auto"/>
              <w:right w:val="single" w:sz="4" w:space="0" w:color="auto"/>
            </w:tcBorders>
            <w:hideMark/>
          </w:tcPr>
          <w:p>
            <w:pPr>
              <w:tabs>
                <w:tab w:val="left" w:pos="-1843"/>
              </w:tabs>
              <w:suppressAutoHyphens/>
              <w:spacing w:line="276" w:lineRule="auto"/>
              <w:jc w:val="both"/>
              <w:rPr>
                <w:sz w:val="20"/>
                <w:lang w:eastAsia="lt-LT"/>
              </w:rPr>
            </w:pPr>
            <w:r>
              <w:rPr>
                <w:sz w:val="20"/>
                <w:lang w:eastAsia="lt-LT"/>
              </w:rPr>
              <w:t>5.1.2</w:t>
            </w:r>
          </w:p>
        </w:tc>
        <w:tc>
          <w:tcPr>
            <w:tcW w:w="2444" w:type="dxa"/>
            <w:tcBorders>
              <w:top w:val="single" w:sz="4" w:space="0" w:color="auto"/>
              <w:left w:val="single" w:sz="4" w:space="0" w:color="auto"/>
              <w:bottom w:val="single" w:sz="4" w:space="0" w:color="auto"/>
              <w:right w:val="single" w:sz="4" w:space="0" w:color="auto"/>
            </w:tcBorders>
          </w:tcPr>
          <w:p>
            <w:pPr>
              <w:tabs>
                <w:tab w:val="left" w:pos="-1843"/>
              </w:tabs>
              <w:suppressAutoHyphens/>
              <w:spacing w:line="276" w:lineRule="auto"/>
              <w:jc w:val="both"/>
              <w:rPr>
                <w:sz w:val="20"/>
                <w:lang w:eastAsia="lt-LT"/>
              </w:rPr>
            </w:pPr>
            <w:r>
              <w:rPr>
                <w:sz w:val="20"/>
                <w:lang w:eastAsia="lt-LT"/>
              </w:rPr>
              <w:t>individualių katilų ir (ar) karšto vandens ruošimo įrenginių įrengimas ar keitimas</w:t>
            </w:r>
          </w:p>
        </w:tc>
        <w:tc>
          <w:tcPr>
            <w:tcW w:w="2409" w:type="dxa"/>
            <w:tcBorders>
              <w:top w:val="single" w:sz="4" w:space="0" w:color="auto"/>
              <w:left w:val="single" w:sz="4" w:space="0" w:color="auto"/>
              <w:bottom w:val="single" w:sz="4" w:space="0" w:color="auto"/>
              <w:right w:val="single" w:sz="4" w:space="0" w:color="auto"/>
            </w:tcBorders>
          </w:tcPr>
          <w:p>
            <w:pPr>
              <w:tabs>
                <w:tab w:val="left" w:pos="-1843"/>
              </w:tabs>
              <w:suppressAutoHyphens/>
              <w:spacing w:line="276" w:lineRule="auto"/>
              <w:jc w:val="both"/>
              <w:rPr>
                <w:sz w:val="20"/>
                <w:lang w:eastAsia="lt-LT"/>
              </w:rPr>
            </w:pPr>
          </w:p>
        </w:tc>
        <w:tc>
          <w:tcPr>
            <w:tcW w:w="1526" w:type="dxa"/>
            <w:tcBorders>
              <w:top w:val="single" w:sz="4" w:space="0" w:color="auto"/>
              <w:left w:val="single" w:sz="4" w:space="0" w:color="auto"/>
              <w:bottom w:val="single" w:sz="4" w:space="0" w:color="auto"/>
              <w:right w:val="single" w:sz="4" w:space="0" w:color="auto"/>
            </w:tcBorders>
          </w:tcPr>
          <w:p>
            <w:pPr>
              <w:tabs>
                <w:tab w:val="left" w:pos="-1843"/>
              </w:tabs>
              <w:suppressAutoHyphens/>
              <w:spacing w:line="276" w:lineRule="auto"/>
              <w:jc w:val="both"/>
              <w:rPr>
                <w:sz w:val="20"/>
                <w:lang w:eastAsia="lt-LT"/>
              </w:rPr>
            </w:pPr>
          </w:p>
        </w:tc>
        <w:tc>
          <w:tcPr>
            <w:tcW w:w="1026" w:type="dxa"/>
            <w:tcBorders>
              <w:top w:val="single" w:sz="4" w:space="0" w:color="auto"/>
              <w:left w:val="single" w:sz="4" w:space="0" w:color="auto"/>
              <w:bottom w:val="single" w:sz="4" w:space="0" w:color="auto"/>
              <w:right w:val="single" w:sz="4" w:space="0" w:color="auto"/>
            </w:tcBorders>
          </w:tcPr>
          <w:p>
            <w:pPr>
              <w:tabs>
                <w:tab w:val="left" w:pos="-1843"/>
              </w:tabs>
              <w:suppressAutoHyphens/>
              <w:spacing w:line="276" w:lineRule="auto"/>
              <w:jc w:val="both"/>
              <w:rPr>
                <w:sz w:val="20"/>
                <w:lang w:eastAsia="lt-LT"/>
              </w:rPr>
            </w:pPr>
            <w:r>
              <w:rPr>
                <w:sz w:val="20"/>
                <w:lang w:eastAsia="lt-LT"/>
              </w:rPr>
              <w:t>butas</w:t>
            </w:r>
          </w:p>
        </w:tc>
        <w:tc>
          <w:tcPr>
            <w:tcW w:w="887" w:type="dxa"/>
            <w:tcBorders>
              <w:left w:val="single" w:sz="4" w:space="0" w:color="auto"/>
              <w:right w:val="single" w:sz="4" w:space="0" w:color="auto"/>
            </w:tcBorders>
          </w:tcPr>
          <w:p>
            <w:pPr>
              <w:tabs>
                <w:tab w:val="left" w:pos="-1843"/>
              </w:tabs>
              <w:suppressAutoHyphens/>
              <w:spacing w:line="276" w:lineRule="auto"/>
              <w:jc w:val="both"/>
              <w:rPr>
                <w:sz w:val="20"/>
                <w:lang w:eastAsia="lt-LT"/>
              </w:rPr>
            </w:pPr>
          </w:p>
        </w:tc>
        <w:tc>
          <w:tcPr>
            <w:tcW w:w="530" w:type="dxa"/>
            <w:tcBorders>
              <w:left w:val="single" w:sz="4" w:space="0" w:color="auto"/>
              <w:right w:val="single" w:sz="4" w:space="0" w:color="auto"/>
            </w:tcBorders>
          </w:tcPr>
          <w:p>
            <w:pPr>
              <w:tabs>
                <w:tab w:val="left" w:pos="-1843"/>
              </w:tabs>
              <w:suppressAutoHyphens/>
              <w:spacing w:line="276" w:lineRule="auto"/>
              <w:jc w:val="both"/>
              <w:rPr>
                <w:sz w:val="20"/>
                <w:lang w:eastAsia="lt-LT"/>
              </w:rPr>
            </w:pPr>
          </w:p>
        </w:tc>
      </w:tr>
      <w:tr>
        <w:tc>
          <w:tcPr>
            <w:tcW w:w="817" w:type="dxa"/>
            <w:tcBorders>
              <w:top w:val="single" w:sz="4" w:space="0" w:color="auto"/>
              <w:left w:val="single" w:sz="4" w:space="0" w:color="auto"/>
              <w:bottom w:val="single" w:sz="4" w:space="0" w:color="auto"/>
              <w:right w:val="single" w:sz="4" w:space="0" w:color="auto"/>
            </w:tcBorders>
            <w:hideMark/>
          </w:tcPr>
          <w:p>
            <w:pPr>
              <w:tabs>
                <w:tab w:val="left" w:pos="-1843"/>
              </w:tabs>
              <w:suppressAutoHyphens/>
              <w:spacing w:line="276" w:lineRule="auto"/>
              <w:jc w:val="both"/>
              <w:rPr>
                <w:sz w:val="20"/>
                <w:lang w:eastAsia="lt-LT"/>
              </w:rPr>
            </w:pPr>
            <w:r>
              <w:rPr>
                <w:sz w:val="20"/>
                <w:lang w:eastAsia="lt-LT"/>
              </w:rPr>
              <w:t>5.1.3</w:t>
            </w:r>
          </w:p>
        </w:tc>
        <w:tc>
          <w:tcPr>
            <w:tcW w:w="2444" w:type="dxa"/>
            <w:tcBorders>
              <w:top w:val="single" w:sz="4" w:space="0" w:color="auto"/>
              <w:left w:val="single" w:sz="4" w:space="0" w:color="auto"/>
              <w:bottom w:val="single" w:sz="4" w:space="0" w:color="auto"/>
              <w:right w:val="single" w:sz="4" w:space="0" w:color="auto"/>
            </w:tcBorders>
          </w:tcPr>
          <w:p>
            <w:pPr>
              <w:tabs>
                <w:tab w:val="left" w:pos="-1843"/>
              </w:tabs>
              <w:suppressAutoHyphens/>
              <w:spacing w:line="276" w:lineRule="auto"/>
              <w:jc w:val="both"/>
              <w:rPr>
                <w:sz w:val="20"/>
                <w:lang w:eastAsia="lt-LT"/>
              </w:rPr>
            </w:pPr>
            <w:r>
              <w:rPr>
                <w:sz w:val="20"/>
                <w:lang w:eastAsia="lt-LT"/>
              </w:rPr>
              <w:t>atsinaujinančių energijos šaltinių (saulės, vėjo, geoterminės ar aeroterminės energijos) įrengimas</w:t>
            </w:r>
          </w:p>
        </w:tc>
        <w:tc>
          <w:tcPr>
            <w:tcW w:w="2409" w:type="dxa"/>
            <w:tcBorders>
              <w:top w:val="single" w:sz="4" w:space="0" w:color="auto"/>
              <w:left w:val="single" w:sz="4" w:space="0" w:color="auto"/>
              <w:bottom w:val="single" w:sz="4" w:space="0" w:color="auto"/>
              <w:right w:val="single" w:sz="4" w:space="0" w:color="auto"/>
            </w:tcBorders>
          </w:tcPr>
          <w:p>
            <w:pPr>
              <w:tabs>
                <w:tab w:val="left" w:pos="-1843"/>
              </w:tabs>
              <w:suppressAutoHyphens/>
              <w:spacing w:line="276" w:lineRule="auto"/>
              <w:jc w:val="both"/>
              <w:rPr>
                <w:sz w:val="20"/>
                <w:lang w:eastAsia="lt-LT"/>
              </w:rPr>
            </w:pPr>
          </w:p>
        </w:tc>
        <w:tc>
          <w:tcPr>
            <w:tcW w:w="1526" w:type="dxa"/>
            <w:tcBorders>
              <w:top w:val="single" w:sz="4" w:space="0" w:color="auto"/>
              <w:left w:val="single" w:sz="4" w:space="0" w:color="auto"/>
              <w:bottom w:val="single" w:sz="4" w:space="0" w:color="auto"/>
              <w:right w:val="single" w:sz="4" w:space="0" w:color="auto"/>
            </w:tcBorders>
          </w:tcPr>
          <w:p>
            <w:pPr>
              <w:tabs>
                <w:tab w:val="left" w:pos="-1843"/>
              </w:tabs>
              <w:suppressAutoHyphens/>
              <w:spacing w:line="276" w:lineRule="auto"/>
              <w:jc w:val="both"/>
              <w:rPr>
                <w:sz w:val="20"/>
                <w:lang w:eastAsia="lt-LT"/>
              </w:rPr>
            </w:pPr>
          </w:p>
        </w:tc>
        <w:tc>
          <w:tcPr>
            <w:tcW w:w="1026" w:type="dxa"/>
            <w:tcBorders>
              <w:top w:val="single" w:sz="4" w:space="0" w:color="auto"/>
              <w:left w:val="single" w:sz="4" w:space="0" w:color="auto"/>
              <w:bottom w:val="single" w:sz="4" w:space="0" w:color="auto"/>
              <w:right w:val="single" w:sz="4" w:space="0" w:color="auto"/>
            </w:tcBorders>
          </w:tcPr>
          <w:p>
            <w:pPr>
              <w:tabs>
                <w:tab w:val="left" w:pos="-1843"/>
              </w:tabs>
              <w:suppressAutoHyphens/>
              <w:spacing w:line="276" w:lineRule="auto"/>
              <w:jc w:val="both"/>
              <w:rPr>
                <w:sz w:val="20"/>
                <w:lang w:eastAsia="lt-LT"/>
              </w:rPr>
            </w:pPr>
            <w:r>
              <w:rPr>
                <w:sz w:val="20"/>
                <w:lang w:eastAsia="lt-LT"/>
              </w:rPr>
              <w:t>kompl.</w:t>
            </w:r>
          </w:p>
        </w:tc>
        <w:tc>
          <w:tcPr>
            <w:tcW w:w="887" w:type="dxa"/>
            <w:tcBorders>
              <w:left w:val="single" w:sz="4" w:space="0" w:color="auto"/>
              <w:right w:val="single" w:sz="4" w:space="0" w:color="auto"/>
            </w:tcBorders>
          </w:tcPr>
          <w:p>
            <w:pPr>
              <w:tabs>
                <w:tab w:val="left" w:pos="-1843"/>
              </w:tabs>
              <w:suppressAutoHyphens/>
              <w:spacing w:line="276" w:lineRule="auto"/>
              <w:jc w:val="both"/>
              <w:rPr>
                <w:sz w:val="20"/>
                <w:lang w:eastAsia="lt-LT"/>
              </w:rPr>
            </w:pPr>
          </w:p>
        </w:tc>
        <w:tc>
          <w:tcPr>
            <w:tcW w:w="530" w:type="dxa"/>
            <w:tcBorders>
              <w:left w:val="single" w:sz="4" w:space="0" w:color="auto"/>
              <w:right w:val="single" w:sz="4" w:space="0" w:color="auto"/>
            </w:tcBorders>
          </w:tcPr>
          <w:p>
            <w:pPr>
              <w:tabs>
                <w:tab w:val="left" w:pos="-1843"/>
              </w:tabs>
              <w:suppressAutoHyphens/>
              <w:spacing w:line="276" w:lineRule="auto"/>
              <w:jc w:val="both"/>
              <w:rPr>
                <w:sz w:val="20"/>
                <w:lang w:eastAsia="lt-LT"/>
              </w:rPr>
            </w:pPr>
          </w:p>
        </w:tc>
      </w:tr>
      <w:tr>
        <w:tc>
          <w:tcPr>
            <w:tcW w:w="817" w:type="dxa"/>
            <w:tcBorders>
              <w:top w:val="single" w:sz="4" w:space="0" w:color="auto"/>
              <w:left w:val="single" w:sz="4" w:space="0" w:color="auto"/>
              <w:bottom w:val="single" w:sz="4" w:space="0" w:color="auto"/>
              <w:right w:val="single" w:sz="4" w:space="0" w:color="auto"/>
            </w:tcBorders>
            <w:hideMark/>
          </w:tcPr>
          <w:p>
            <w:pPr>
              <w:tabs>
                <w:tab w:val="left" w:pos="-1843"/>
              </w:tabs>
              <w:suppressAutoHyphens/>
              <w:spacing w:line="276" w:lineRule="auto"/>
              <w:jc w:val="both"/>
              <w:rPr>
                <w:sz w:val="20"/>
                <w:lang w:eastAsia="lt-LT"/>
              </w:rPr>
            </w:pPr>
            <w:r>
              <w:rPr>
                <w:sz w:val="20"/>
                <w:lang w:eastAsia="lt-LT"/>
              </w:rPr>
              <w:t>5.1.4</w:t>
            </w:r>
          </w:p>
        </w:tc>
        <w:tc>
          <w:tcPr>
            <w:tcW w:w="2444" w:type="dxa"/>
            <w:tcBorders>
              <w:top w:val="single" w:sz="4" w:space="0" w:color="auto"/>
              <w:left w:val="single" w:sz="4" w:space="0" w:color="auto"/>
              <w:bottom w:val="single" w:sz="4" w:space="0" w:color="auto"/>
              <w:right w:val="single" w:sz="4" w:space="0" w:color="auto"/>
            </w:tcBorders>
          </w:tcPr>
          <w:p>
            <w:pPr>
              <w:tabs>
                <w:tab w:val="left" w:pos="-1843"/>
              </w:tabs>
              <w:suppressAutoHyphens/>
              <w:spacing w:line="276" w:lineRule="auto"/>
              <w:jc w:val="both"/>
              <w:rPr>
                <w:sz w:val="20"/>
                <w:lang w:eastAsia="lt-LT"/>
              </w:rPr>
            </w:pPr>
            <w:r>
              <w:rPr>
                <w:sz w:val="20"/>
                <w:lang w:eastAsia="lt-LT"/>
              </w:rPr>
              <w:t>šildymo sistemos atnaujinimas ar pertvarkymas) (balansavimas, vamzdynų keitimas, izoliavimas, šildymo prietaisų, termostatinių ventilių įrengimas, individualių šilumos apskaitos prietaisų ar daliklių sistemos įrengimas)</w:t>
            </w:r>
          </w:p>
        </w:tc>
        <w:tc>
          <w:tcPr>
            <w:tcW w:w="2409" w:type="dxa"/>
            <w:tcBorders>
              <w:top w:val="single" w:sz="4" w:space="0" w:color="auto"/>
              <w:left w:val="single" w:sz="4" w:space="0" w:color="auto"/>
              <w:bottom w:val="single" w:sz="4" w:space="0" w:color="auto"/>
              <w:right w:val="single" w:sz="4" w:space="0" w:color="auto"/>
            </w:tcBorders>
          </w:tcPr>
          <w:p>
            <w:pPr>
              <w:tabs>
                <w:tab w:val="left" w:pos="-1843"/>
              </w:tabs>
              <w:suppressAutoHyphens/>
              <w:spacing w:line="276" w:lineRule="auto"/>
              <w:jc w:val="both"/>
              <w:rPr>
                <w:sz w:val="20"/>
                <w:lang w:eastAsia="lt-LT"/>
              </w:rPr>
            </w:pPr>
          </w:p>
        </w:tc>
        <w:tc>
          <w:tcPr>
            <w:tcW w:w="1526" w:type="dxa"/>
            <w:tcBorders>
              <w:top w:val="single" w:sz="4" w:space="0" w:color="auto"/>
              <w:left w:val="single" w:sz="4" w:space="0" w:color="auto"/>
              <w:bottom w:val="single" w:sz="4" w:space="0" w:color="auto"/>
              <w:right w:val="single" w:sz="4" w:space="0" w:color="auto"/>
            </w:tcBorders>
          </w:tcPr>
          <w:p>
            <w:pPr>
              <w:tabs>
                <w:tab w:val="left" w:pos="-1843"/>
              </w:tabs>
              <w:suppressAutoHyphens/>
              <w:spacing w:line="276" w:lineRule="auto"/>
              <w:jc w:val="both"/>
              <w:rPr>
                <w:sz w:val="20"/>
                <w:lang w:eastAsia="lt-LT"/>
              </w:rPr>
            </w:pPr>
          </w:p>
        </w:tc>
        <w:tc>
          <w:tcPr>
            <w:tcW w:w="1026" w:type="dxa"/>
            <w:tcBorders>
              <w:top w:val="single" w:sz="4" w:space="0" w:color="auto"/>
              <w:left w:val="single" w:sz="4" w:space="0" w:color="auto"/>
              <w:bottom w:val="single" w:sz="4" w:space="0" w:color="auto"/>
              <w:right w:val="single" w:sz="4" w:space="0" w:color="auto"/>
            </w:tcBorders>
          </w:tcPr>
          <w:p>
            <w:pPr>
              <w:tabs>
                <w:tab w:val="left" w:pos="-1843"/>
              </w:tabs>
              <w:suppressAutoHyphens/>
              <w:spacing w:line="276" w:lineRule="auto"/>
              <w:jc w:val="both"/>
              <w:rPr>
                <w:sz w:val="20"/>
                <w:lang w:eastAsia="lt-LT"/>
              </w:rPr>
            </w:pPr>
            <w:r>
              <w:rPr>
                <w:sz w:val="20"/>
                <w:lang w:eastAsia="lt-LT"/>
              </w:rPr>
              <w:t>kompl.</w:t>
            </w:r>
          </w:p>
        </w:tc>
        <w:tc>
          <w:tcPr>
            <w:tcW w:w="887" w:type="dxa"/>
            <w:tcBorders>
              <w:left w:val="single" w:sz="4" w:space="0" w:color="auto"/>
              <w:right w:val="single" w:sz="4" w:space="0" w:color="auto"/>
            </w:tcBorders>
          </w:tcPr>
          <w:p>
            <w:pPr>
              <w:tabs>
                <w:tab w:val="left" w:pos="-1843"/>
              </w:tabs>
              <w:suppressAutoHyphens/>
              <w:spacing w:line="276" w:lineRule="auto"/>
              <w:jc w:val="both"/>
              <w:rPr>
                <w:sz w:val="20"/>
                <w:lang w:eastAsia="lt-LT"/>
              </w:rPr>
            </w:pPr>
          </w:p>
        </w:tc>
        <w:tc>
          <w:tcPr>
            <w:tcW w:w="530" w:type="dxa"/>
            <w:tcBorders>
              <w:left w:val="single" w:sz="4" w:space="0" w:color="auto"/>
              <w:right w:val="single" w:sz="4" w:space="0" w:color="auto"/>
            </w:tcBorders>
          </w:tcPr>
          <w:p>
            <w:pPr>
              <w:tabs>
                <w:tab w:val="left" w:pos="-1843"/>
              </w:tabs>
              <w:suppressAutoHyphens/>
              <w:spacing w:line="276" w:lineRule="auto"/>
              <w:jc w:val="both"/>
              <w:rPr>
                <w:sz w:val="20"/>
                <w:lang w:eastAsia="lt-LT"/>
              </w:rPr>
            </w:pPr>
          </w:p>
        </w:tc>
      </w:tr>
      <w:tr>
        <w:tc>
          <w:tcPr>
            <w:tcW w:w="817" w:type="dxa"/>
            <w:tcBorders>
              <w:top w:val="single" w:sz="4" w:space="0" w:color="auto"/>
              <w:left w:val="single" w:sz="4" w:space="0" w:color="auto"/>
              <w:bottom w:val="single" w:sz="4" w:space="0" w:color="auto"/>
              <w:right w:val="single" w:sz="4" w:space="0" w:color="auto"/>
            </w:tcBorders>
          </w:tcPr>
          <w:p>
            <w:pPr>
              <w:tabs>
                <w:tab w:val="left" w:pos="-1843"/>
              </w:tabs>
              <w:suppressAutoHyphens/>
              <w:spacing w:line="276" w:lineRule="auto"/>
              <w:jc w:val="both"/>
              <w:rPr>
                <w:sz w:val="20"/>
                <w:lang w:eastAsia="lt-LT"/>
              </w:rPr>
            </w:pPr>
            <w:r>
              <w:rPr>
                <w:sz w:val="20"/>
                <w:lang w:eastAsia="lt-LT"/>
              </w:rPr>
              <w:t>5.1.5</w:t>
            </w:r>
          </w:p>
        </w:tc>
        <w:tc>
          <w:tcPr>
            <w:tcW w:w="2444" w:type="dxa"/>
            <w:tcBorders>
              <w:top w:val="single" w:sz="4" w:space="0" w:color="auto"/>
              <w:left w:val="single" w:sz="4" w:space="0" w:color="auto"/>
              <w:bottom w:val="single" w:sz="4" w:space="0" w:color="auto"/>
              <w:right w:val="single" w:sz="4" w:space="0" w:color="auto"/>
            </w:tcBorders>
          </w:tcPr>
          <w:p>
            <w:pPr>
              <w:tabs>
                <w:tab w:val="left" w:pos="-1843"/>
              </w:tabs>
              <w:suppressAutoHyphens/>
              <w:spacing w:line="276" w:lineRule="auto"/>
              <w:jc w:val="both"/>
              <w:rPr>
                <w:sz w:val="20"/>
                <w:lang w:eastAsia="lt-LT"/>
              </w:rPr>
            </w:pPr>
            <w:r>
              <w:rPr>
                <w:sz w:val="20"/>
                <w:lang w:eastAsia="lt-LT"/>
              </w:rPr>
              <w:t>karšto vandens sistemos pertvarkymas, atnaujinimas, vamzdynų keitimas ir (ar) izoliavimas</w:t>
            </w:r>
          </w:p>
          <w:p>
            <w:pPr>
              <w:tabs>
                <w:tab w:val="left" w:pos="-1843"/>
              </w:tabs>
              <w:suppressAutoHyphens/>
              <w:spacing w:line="276" w:lineRule="auto"/>
              <w:jc w:val="both"/>
              <w:rPr>
                <w:sz w:val="20"/>
                <w:lang w:eastAsia="lt-LT"/>
              </w:rPr>
            </w:pPr>
          </w:p>
        </w:tc>
        <w:tc>
          <w:tcPr>
            <w:tcW w:w="2409" w:type="dxa"/>
            <w:tcBorders>
              <w:top w:val="single" w:sz="4" w:space="0" w:color="auto"/>
              <w:left w:val="single" w:sz="4" w:space="0" w:color="auto"/>
              <w:bottom w:val="single" w:sz="4" w:space="0" w:color="auto"/>
              <w:right w:val="single" w:sz="4" w:space="0" w:color="auto"/>
            </w:tcBorders>
          </w:tcPr>
          <w:p>
            <w:pPr>
              <w:tabs>
                <w:tab w:val="left" w:pos="-1843"/>
              </w:tabs>
              <w:suppressAutoHyphens/>
              <w:spacing w:line="276" w:lineRule="auto"/>
              <w:jc w:val="both"/>
              <w:rPr>
                <w:sz w:val="20"/>
                <w:lang w:eastAsia="lt-LT"/>
              </w:rPr>
            </w:pPr>
          </w:p>
        </w:tc>
        <w:tc>
          <w:tcPr>
            <w:tcW w:w="1526" w:type="dxa"/>
            <w:tcBorders>
              <w:top w:val="single" w:sz="4" w:space="0" w:color="auto"/>
              <w:left w:val="single" w:sz="4" w:space="0" w:color="auto"/>
              <w:bottom w:val="single" w:sz="4" w:space="0" w:color="auto"/>
              <w:right w:val="single" w:sz="4" w:space="0" w:color="auto"/>
            </w:tcBorders>
          </w:tcPr>
          <w:p>
            <w:pPr>
              <w:tabs>
                <w:tab w:val="left" w:pos="-1843"/>
              </w:tabs>
              <w:suppressAutoHyphens/>
              <w:spacing w:line="276" w:lineRule="auto"/>
              <w:jc w:val="both"/>
              <w:rPr>
                <w:sz w:val="20"/>
                <w:lang w:eastAsia="lt-LT"/>
              </w:rPr>
            </w:pPr>
          </w:p>
        </w:tc>
        <w:tc>
          <w:tcPr>
            <w:tcW w:w="1026" w:type="dxa"/>
            <w:tcBorders>
              <w:top w:val="single" w:sz="4" w:space="0" w:color="auto"/>
              <w:left w:val="single" w:sz="4" w:space="0" w:color="auto"/>
              <w:bottom w:val="single" w:sz="4" w:space="0" w:color="auto"/>
              <w:right w:val="single" w:sz="4" w:space="0" w:color="auto"/>
            </w:tcBorders>
          </w:tcPr>
          <w:p>
            <w:pPr>
              <w:tabs>
                <w:tab w:val="left" w:pos="-1843"/>
              </w:tabs>
              <w:suppressAutoHyphens/>
              <w:spacing w:line="276" w:lineRule="auto"/>
              <w:jc w:val="both"/>
              <w:rPr>
                <w:sz w:val="20"/>
                <w:lang w:eastAsia="lt-LT"/>
              </w:rPr>
            </w:pPr>
            <w:r>
              <w:rPr>
                <w:sz w:val="20"/>
                <w:lang w:eastAsia="lt-LT"/>
              </w:rPr>
              <w:t>kompl.</w:t>
            </w:r>
          </w:p>
        </w:tc>
        <w:tc>
          <w:tcPr>
            <w:tcW w:w="887" w:type="dxa"/>
            <w:tcBorders>
              <w:left w:val="single" w:sz="4" w:space="0" w:color="auto"/>
              <w:right w:val="single" w:sz="4" w:space="0" w:color="auto"/>
            </w:tcBorders>
          </w:tcPr>
          <w:p>
            <w:pPr>
              <w:tabs>
                <w:tab w:val="left" w:pos="-1843"/>
              </w:tabs>
              <w:suppressAutoHyphens/>
              <w:spacing w:line="276" w:lineRule="auto"/>
              <w:jc w:val="both"/>
              <w:rPr>
                <w:sz w:val="20"/>
                <w:lang w:eastAsia="lt-LT"/>
              </w:rPr>
            </w:pPr>
          </w:p>
        </w:tc>
        <w:tc>
          <w:tcPr>
            <w:tcW w:w="530" w:type="dxa"/>
            <w:tcBorders>
              <w:left w:val="single" w:sz="4" w:space="0" w:color="auto"/>
              <w:right w:val="single" w:sz="4" w:space="0" w:color="auto"/>
            </w:tcBorders>
          </w:tcPr>
          <w:p>
            <w:pPr>
              <w:tabs>
                <w:tab w:val="left" w:pos="-1843"/>
              </w:tabs>
              <w:suppressAutoHyphens/>
              <w:spacing w:line="276" w:lineRule="auto"/>
              <w:jc w:val="both"/>
              <w:rPr>
                <w:sz w:val="20"/>
                <w:lang w:eastAsia="lt-LT"/>
              </w:rPr>
            </w:pPr>
          </w:p>
        </w:tc>
      </w:tr>
      <w:tr>
        <w:tc>
          <w:tcPr>
            <w:tcW w:w="817" w:type="dxa"/>
            <w:tcBorders>
              <w:top w:val="single" w:sz="4" w:space="0" w:color="auto"/>
              <w:left w:val="single" w:sz="4" w:space="0" w:color="auto"/>
              <w:bottom w:val="single" w:sz="4" w:space="0" w:color="auto"/>
              <w:right w:val="single" w:sz="4" w:space="0" w:color="auto"/>
            </w:tcBorders>
          </w:tcPr>
          <w:p>
            <w:pPr>
              <w:tabs>
                <w:tab w:val="left" w:pos="-1843"/>
              </w:tabs>
              <w:suppressAutoHyphens/>
              <w:spacing w:line="276" w:lineRule="auto"/>
              <w:jc w:val="both"/>
              <w:rPr>
                <w:sz w:val="20"/>
                <w:lang w:eastAsia="lt-LT"/>
              </w:rPr>
            </w:pPr>
            <w:r>
              <w:rPr>
                <w:sz w:val="20"/>
                <w:lang w:eastAsia="lt-LT"/>
              </w:rPr>
              <w:t>5.1.6</w:t>
            </w:r>
          </w:p>
        </w:tc>
        <w:tc>
          <w:tcPr>
            <w:tcW w:w="2444" w:type="dxa"/>
            <w:tcBorders>
              <w:top w:val="single" w:sz="4" w:space="0" w:color="auto"/>
              <w:left w:val="single" w:sz="4" w:space="0" w:color="auto"/>
              <w:bottom w:val="single" w:sz="4" w:space="0" w:color="auto"/>
              <w:right w:val="single" w:sz="4" w:space="0" w:color="auto"/>
            </w:tcBorders>
          </w:tcPr>
          <w:p>
            <w:pPr>
              <w:tabs>
                <w:tab w:val="left" w:pos="-1843"/>
              </w:tabs>
              <w:suppressAutoHyphens/>
              <w:spacing w:line="276" w:lineRule="auto"/>
              <w:jc w:val="both"/>
              <w:rPr>
                <w:sz w:val="20"/>
                <w:lang w:eastAsia="lt-LT"/>
              </w:rPr>
            </w:pPr>
            <w:r>
              <w:rPr>
                <w:sz w:val="20"/>
                <w:lang w:eastAsia="lt-LT"/>
              </w:rPr>
              <w:t>natūralios vėdinimo sistemos sutvarkymas arba pertvarkymas</w:t>
            </w:r>
          </w:p>
        </w:tc>
        <w:tc>
          <w:tcPr>
            <w:tcW w:w="2409" w:type="dxa"/>
            <w:tcBorders>
              <w:top w:val="single" w:sz="4" w:space="0" w:color="auto"/>
              <w:left w:val="single" w:sz="4" w:space="0" w:color="auto"/>
              <w:bottom w:val="single" w:sz="4" w:space="0" w:color="auto"/>
              <w:right w:val="single" w:sz="4" w:space="0" w:color="auto"/>
            </w:tcBorders>
          </w:tcPr>
          <w:p>
            <w:pPr>
              <w:tabs>
                <w:tab w:val="left" w:pos="-1843"/>
              </w:tabs>
              <w:suppressAutoHyphens/>
              <w:spacing w:line="276" w:lineRule="auto"/>
              <w:jc w:val="both"/>
              <w:rPr>
                <w:sz w:val="20"/>
                <w:lang w:eastAsia="lt-LT"/>
              </w:rPr>
            </w:pPr>
          </w:p>
        </w:tc>
        <w:tc>
          <w:tcPr>
            <w:tcW w:w="1526" w:type="dxa"/>
            <w:tcBorders>
              <w:top w:val="single" w:sz="4" w:space="0" w:color="auto"/>
              <w:left w:val="single" w:sz="4" w:space="0" w:color="auto"/>
              <w:bottom w:val="single" w:sz="4" w:space="0" w:color="auto"/>
              <w:right w:val="single" w:sz="4" w:space="0" w:color="auto"/>
            </w:tcBorders>
          </w:tcPr>
          <w:p>
            <w:pPr>
              <w:tabs>
                <w:tab w:val="left" w:pos="-1843"/>
              </w:tabs>
              <w:suppressAutoHyphens/>
              <w:spacing w:line="276" w:lineRule="auto"/>
              <w:jc w:val="both"/>
              <w:rPr>
                <w:sz w:val="20"/>
                <w:lang w:eastAsia="lt-LT"/>
              </w:rPr>
            </w:pPr>
          </w:p>
        </w:tc>
        <w:tc>
          <w:tcPr>
            <w:tcW w:w="1026" w:type="dxa"/>
            <w:tcBorders>
              <w:top w:val="single" w:sz="4" w:space="0" w:color="auto"/>
              <w:left w:val="single" w:sz="4" w:space="0" w:color="auto"/>
              <w:bottom w:val="single" w:sz="4" w:space="0" w:color="auto"/>
              <w:right w:val="single" w:sz="4" w:space="0" w:color="auto"/>
            </w:tcBorders>
          </w:tcPr>
          <w:p>
            <w:pPr>
              <w:tabs>
                <w:tab w:val="left" w:pos="-1843"/>
              </w:tabs>
              <w:suppressAutoHyphens/>
              <w:spacing w:line="276" w:lineRule="auto"/>
              <w:jc w:val="both"/>
              <w:rPr>
                <w:sz w:val="20"/>
                <w:lang w:eastAsia="lt-LT"/>
              </w:rPr>
            </w:pPr>
            <w:r>
              <w:rPr>
                <w:sz w:val="20"/>
                <w:lang w:eastAsia="lt-LT"/>
              </w:rPr>
              <w:t>butas</w:t>
            </w:r>
          </w:p>
        </w:tc>
        <w:tc>
          <w:tcPr>
            <w:tcW w:w="887" w:type="dxa"/>
            <w:tcBorders>
              <w:left w:val="single" w:sz="4" w:space="0" w:color="auto"/>
              <w:right w:val="single" w:sz="4" w:space="0" w:color="auto"/>
            </w:tcBorders>
          </w:tcPr>
          <w:p>
            <w:pPr>
              <w:tabs>
                <w:tab w:val="left" w:pos="-1843"/>
              </w:tabs>
              <w:suppressAutoHyphens/>
              <w:spacing w:line="276" w:lineRule="auto"/>
              <w:jc w:val="both"/>
              <w:rPr>
                <w:sz w:val="20"/>
                <w:lang w:eastAsia="lt-LT"/>
              </w:rPr>
            </w:pPr>
          </w:p>
        </w:tc>
        <w:tc>
          <w:tcPr>
            <w:tcW w:w="530" w:type="dxa"/>
            <w:tcBorders>
              <w:left w:val="single" w:sz="4" w:space="0" w:color="auto"/>
              <w:right w:val="single" w:sz="4" w:space="0" w:color="auto"/>
            </w:tcBorders>
          </w:tcPr>
          <w:p>
            <w:pPr>
              <w:tabs>
                <w:tab w:val="left" w:pos="-1843"/>
              </w:tabs>
              <w:suppressAutoHyphens/>
              <w:spacing w:line="276" w:lineRule="auto"/>
              <w:jc w:val="both"/>
              <w:rPr>
                <w:sz w:val="20"/>
                <w:lang w:eastAsia="lt-LT"/>
              </w:rPr>
            </w:pPr>
          </w:p>
        </w:tc>
      </w:tr>
      <w:tr>
        <w:tc>
          <w:tcPr>
            <w:tcW w:w="817" w:type="dxa"/>
            <w:tcBorders>
              <w:top w:val="single" w:sz="4" w:space="0" w:color="auto"/>
              <w:left w:val="single" w:sz="4" w:space="0" w:color="auto"/>
              <w:bottom w:val="single" w:sz="4" w:space="0" w:color="auto"/>
              <w:right w:val="single" w:sz="4" w:space="0" w:color="auto"/>
            </w:tcBorders>
          </w:tcPr>
          <w:p>
            <w:pPr>
              <w:tabs>
                <w:tab w:val="left" w:pos="-1843"/>
              </w:tabs>
              <w:suppressAutoHyphens/>
              <w:spacing w:line="276" w:lineRule="auto"/>
              <w:jc w:val="both"/>
              <w:rPr>
                <w:sz w:val="20"/>
                <w:lang w:eastAsia="lt-LT"/>
              </w:rPr>
            </w:pPr>
            <w:r>
              <w:rPr>
                <w:sz w:val="20"/>
                <w:lang w:eastAsia="lt-LT"/>
              </w:rPr>
              <w:t>5.1.7</w:t>
            </w:r>
          </w:p>
        </w:tc>
        <w:tc>
          <w:tcPr>
            <w:tcW w:w="2444" w:type="dxa"/>
            <w:tcBorders>
              <w:top w:val="single" w:sz="4" w:space="0" w:color="auto"/>
              <w:left w:val="single" w:sz="4" w:space="0" w:color="auto"/>
              <w:bottom w:val="single" w:sz="4" w:space="0" w:color="auto"/>
              <w:right w:val="single" w:sz="4" w:space="0" w:color="auto"/>
            </w:tcBorders>
          </w:tcPr>
          <w:p>
            <w:pPr>
              <w:tabs>
                <w:tab w:val="left" w:pos="-1843"/>
              </w:tabs>
              <w:suppressAutoHyphens/>
              <w:spacing w:line="276" w:lineRule="auto"/>
              <w:jc w:val="both"/>
              <w:rPr>
                <w:sz w:val="20"/>
                <w:lang w:eastAsia="lt-LT"/>
              </w:rPr>
            </w:pPr>
            <w:r>
              <w:rPr>
                <w:sz w:val="20"/>
                <w:lang w:eastAsia="lt-LT"/>
              </w:rPr>
              <w:t>centralizuotos rekuperacinės vėdinimo sistemos įrengimas</w:t>
            </w:r>
          </w:p>
        </w:tc>
        <w:tc>
          <w:tcPr>
            <w:tcW w:w="2409" w:type="dxa"/>
            <w:tcBorders>
              <w:top w:val="single" w:sz="4" w:space="0" w:color="auto"/>
              <w:left w:val="single" w:sz="4" w:space="0" w:color="auto"/>
              <w:bottom w:val="single" w:sz="4" w:space="0" w:color="auto"/>
              <w:right w:val="single" w:sz="4" w:space="0" w:color="auto"/>
            </w:tcBorders>
          </w:tcPr>
          <w:p>
            <w:pPr>
              <w:tabs>
                <w:tab w:val="left" w:pos="-1843"/>
              </w:tabs>
              <w:suppressAutoHyphens/>
              <w:spacing w:line="276" w:lineRule="auto"/>
              <w:jc w:val="both"/>
              <w:rPr>
                <w:sz w:val="20"/>
                <w:lang w:eastAsia="lt-LT"/>
              </w:rPr>
            </w:pPr>
          </w:p>
        </w:tc>
        <w:tc>
          <w:tcPr>
            <w:tcW w:w="1526" w:type="dxa"/>
            <w:tcBorders>
              <w:top w:val="single" w:sz="4" w:space="0" w:color="auto"/>
              <w:left w:val="single" w:sz="4" w:space="0" w:color="auto"/>
              <w:bottom w:val="single" w:sz="4" w:space="0" w:color="auto"/>
              <w:right w:val="single" w:sz="4" w:space="0" w:color="auto"/>
            </w:tcBorders>
          </w:tcPr>
          <w:p>
            <w:pPr>
              <w:tabs>
                <w:tab w:val="left" w:pos="-1843"/>
              </w:tabs>
              <w:suppressAutoHyphens/>
              <w:spacing w:line="276" w:lineRule="auto"/>
              <w:jc w:val="both"/>
              <w:rPr>
                <w:sz w:val="20"/>
                <w:lang w:eastAsia="lt-LT"/>
              </w:rPr>
            </w:pPr>
          </w:p>
        </w:tc>
        <w:tc>
          <w:tcPr>
            <w:tcW w:w="1026" w:type="dxa"/>
            <w:tcBorders>
              <w:top w:val="single" w:sz="4" w:space="0" w:color="auto"/>
              <w:left w:val="single" w:sz="4" w:space="0" w:color="auto"/>
              <w:bottom w:val="single" w:sz="4" w:space="0" w:color="auto"/>
              <w:right w:val="single" w:sz="4" w:space="0" w:color="auto"/>
            </w:tcBorders>
          </w:tcPr>
          <w:p>
            <w:pPr>
              <w:tabs>
                <w:tab w:val="left" w:pos="-1843"/>
              </w:tabs>
              <w:suppressAutoHyphens/>
              <w:spacing w:line="276" w:lineRule="auto"/>
              <w:jc w:val="both"/>
              <w:rPr>
                <w:sz w:val="20"/>
                <w:lang w:eastAsia="lt-LT"/>
              </w:rPr>
            </w:pPr>
            <w:r>
              <w:rPr>
                <w:sz w:val="20"/>
                <w:lang w:eastAsia="lt-LT"/>
              </w:rPr>
              <w:t>butas</w:t>
            </w:r>
          </w:p>
        </w:tc>
        <w:tc>
          <w:tcPr>
            <w:tcW w:w="887" w:type="dxa"/>
            <w:tcBorders>
              <w:left w:val="single" w:sz="4" w:space="0" w:color="auto"/>
              <w:right w:val="single" w:sz="4" w:space="0" w:color="auto"/>
            </w:tcBorders>
          </w:tcPr>
          <w:p>
            <w:pPr>
              <w:tabs>
                <w:tab w:val="left" w:pos="-1843"/>
              </w:tabs>
              <w:suppressAutoHyphens/>
              <w:spacing w:line="276" w:lineRule="auto"/>
              <w:jc w:val="both"/>
              <w:rPr>
                <w:sz w:val="20"/>
                <w:lang w:eastAsia="lt-LT"/>
              </w:rPr>
            </w:pPr>
          </w:p>
        </w:tc>
        <w:tc>
          <w:tcPr>
            <w:tcW w:w="530" w:type="dxa"/>
            <w:tcBorders>
              <w:left w:val="single" w:sz="4" w:space="0" w:color="auto"/>
              <w:right w:val="single" w:sz="4" w:space="0" w:color="auto"/>
            </w:tcBorders>
          </w:tcPr>
          <w:p>
            <w:pPr>
              <w:tabs>
                <w:tab w:val="left" w:pos="-1843"/>
              </w:tabs>
              <w:suppressAutoHyphens/>
              <w:spacing w:line="276" w:lineRule="auto"/>
              <w:jc w:val="both"/>
              <w:rPr>
                <w:sz w:val="20"/>
                <w:lang w:eastAsia="lt-LT"/>
              </w:rPr>
            </w:pPr>
          </w:p>
        </w:tc>
      </w:tr>
      <w:tr>
        <w:tc>
          <w:tcPr>
            <w:tcW w:w="817" w:type="dxa"/>
            <w:tcBorders>
              <w:top w:val="single" w:sz="4" w:space="0" w:color="auto"/>
              <w:left w:val="single" w:sz="4" w:space="0" w:color="auto"/>
              <w:bottom w:val="single" w:sz="4" w:space="0" w:color="auto"/>
              <w:right w:val="single" w:sz="4" w:space="0" w:color="auto"/>
            </w:tcBorders>
          </w:tcPr>
          <w:p>
            <w:pPr>
              <w:tabs>
                <w:tab w:val="left" w:pos="-1843"/>
              </w:tabs>
              <w:suppressAutoHyphens/>
              <w:spacing w:line="276" w:lineRule="auto"/>
              <w:jc w:val="both"/>
              <w:rPr>
                <w:sz w:val="20"/>
                <w:lang w:eastAsia="lt-LT"/>
              </w:rPr>
            </w:pPr>
            <w:r>
              <w:rPr>
                <w:sz w:val="20"/>
                <w:lang w:eastAsia="lt-LT"/>
              </w:rPr>
              <w:t>5.1.8</w:t>
            </w:r>
          </w:p>
        </w:tc>
        <w:tc>
          <w:tcPr>
            <w:tcW w:w="2444" w:type="dxa"/>
            <w:tcBorders>
              <w:top w:val="single" w:sz="4" w:space="0" w:color="auto"/>
              <w:left w:val="single" w:sz="4" w:space="0" w:color="auto"/>
              <w:bottom w:val="single" w:sz="4" w:space="0" w:color="auto"/>
              <w:right w:val="single" w:sz="4" w:space="0" w:color="auto"/>
            </w:tcBorders>
          </w:tcPr>
          <w:p>
            <w:pPr>
              <w:tabs>
                <w:tab w:val="left" w:pos="-1843"/>
              </w:tabs>
              <w:suppressAutoHyphens/>
              <w:spacing w:line="276" w:lineRule="auto"/>
              <w:jc w:val="both"/>
              <w:rPr>
                <w:sz w:val="20"/>
                <w:lang w:eastAsia="lt-LT"/>
              </w:rPr>
            </w:pPr>
            <w:r>
              <w:rPr>
                <w:sz w:val="20"/>
                <w:lang w:eastAsia="lt-LT"/>
              </w:rPr>
              <w:t>individualių rekuperatorių įrengimas</w:t>
            </w:r>
          </w:p>
        </w:tc>
        <w:tc>
          <w:tcPr>
            <w:tcW w:w="2409" w:type="dxa"/>
            <w:tcBorders>
              <w:top w:val="single" w:sz="4" w:space="0" w:color="auto"/>
              <w:left w:val="single" w:sz="4" w:space="0" w:color="auto"/>
              <w:bottom w:val="single" w:sz="4" w:space="0" w:color="auto"/>
              <w:right w:val="single" w:sz="4" w:space="0" w:color="auto"/>
            </w:tcBorders>
          </w:tcPr>
          <w:p>
            <w:pPr>
              <w:tabs>
                <w:tab w:val="left" w:pos="-1843"/>
              </w:tabs>
              <w:suppressAutoHyphens/>
              <w:spacing w:line="276" w:lineRule="auto"/>
              <w:jc w:val="both"/>
              <w:rPr>
                <w:sz w:val="20"/>
                <w:lang w:eastAsia="lt-LT"/>
              </w:rPr>
            </w:pPr>
          </w:p>
        </w:tc>
        <w:tc>
          <w:tcPr>
            <w:tcW w:w="1526" w:type="dxa"/>
            <w:tcBorders>
              <w:top w:val="single" w:sz="4" w:space="0" w:color="auto"/>
              <w:left w:val="single" w:sz="4" w:space="0" w:color="auto"/>
              <w:bottom w:val="single" w:sz="4" w:space="0" w:color="auto"/>
              <w:right w:val="single" w:sz="4" w:space="0" w:color="auto"/>
            </w:tcBorders>
          </w:tcPr>
          <w:p>
            <w:pPr>
              <w:tabs>
                <w:tab w:val="left" w:pos="-1843"/>
              </w:tabs>
              <w:suppressAutoHyphens/>
              <w:spacing w:line="276" w:lineRule="auto"/>
              <w:jc w:val="both"/>
              <w:rPr>
                <w:sz w:val="20"/>
                <w:lang w:eastAsia="lt-LT"/>
              </w:rPr>
            </w:pPr>
          </w:p>
        </w:tc>
        <w:tc>
          <w:tcPr>
            <w:tcW w:w="1026" w:type="dxa"/>
            <w:tcBorders>
              <w:top w:val="single" w:sz="4" w:space="0" w:color="auto"/>
              <w:left w:val="single" w:sz="4" w:space="0" w:color="auto"/>
              <w:bottom w:val="single" w:sz="4" w:space="0" w:color="auto"/>
              <w:right w:val="single" w:sz="4" w:space="0" w:color="auto"/>
            </w:tcBorders>
          </w:tcPr>
          <w:p>
            <w:pPr>
              <w:tabs>
                <w:tab w:val="left" w:pos="-1843"/>
              </w:tabs>
              <w:suppressAutoHyphens/>
              <w:spacing w:line="276" w:lineRule="auto"/>
              <w:jc w:val="both"/>
              <w:rPr>
                <w:sz w:val="20"/>
                <w:lang w:eastAsia="lt-LT"/>
              </w:rPr>
            </w:pPr>
            <w:r>
              <w:rPr>
                <w:sz w:val="20"/>
                <w:lang w:eastAsia="lt-LT"/>
              </w:rPr>
              <w:t>vnt.</w:t>
            </w:r>
          </w:p>
        </w:tc>
        <w:tc>
          <w:tcPr>
            <w:tcW w:w="887" w:type="dxa"/>
            <w:tcBorders>
              <w:left w:val="single" w:sz="4" w:space="0" w:color="auto"/>
              <w:right w:val="single" w:sz="4" w:space="0" w:color="auto"/>
            </w:tcBorders>
          </w:tcPr>
          <w:p>
            <w:pPr>
              <w:tabs>
                <w:tab w:val="left" w:pos="-1843"/>
              </w:tabs>
              <w:suppressAutoHyphens/>
              <w:spacing w:line="276" w:lineRule="auto"/>
              <w:jc w:val="both"/>
              <w:rPr>
                <w:sz w:val="20"/>
                <w:lang w:eastAsia="lt-LT"/>
              </w:rPr>
            </w:pPr>
          </w:p>
        </w:tc>
        <w:tc>
          <w:tcPr>
            <w:tcW w:w="530" w:type="dxa"/>
            <w:tcBorders>
              <w:left w:val="single" w:sz="4" w:space="0" w:color="auto"/>
              <w:right w:val="single" w:sz="4" w:space="0" w:color="auto"/>
            </w:tcBorders>
          </w:tcPr>
          <w:p>
            <w:pPr>
              <w:tabs>
                <w:tab w:val="left" w:pos="-1843"/>
              </w:tabs>
              <w:suppressAutoHyphens/>
              <w:spacing w:line="276" w:lineRule="auto"/>
              <w:jc w:val="both"/>
              <w:rPr>
                <w:sz w:val="20"/>
                <w:lang w:eastAsia="lt-LT"/>
              </w:rPr>
            </w:pPr>
          </w:p>
        </w:tc>
      </w:tr>
      <w:tr>
        <w:tc>
          <w:tcPr>
            <w:tcW w:w="817" w:type="dxa"/>
            <w:tcBorders>
              <w:top w:val="single" w:sz="4" w:space="0" w:color="auto"/>
              <w:left w:val="single" w:sz="4" w:space="0" w:color="auto"/>
              <w:bottom w:val="single" w:sz="4" w:space="0" w:color="auto"/>
              <w:right w:val="single" w:sz="4" w:space="0" w:color="auto"/>
            </w:tcBorders>
          </w:tcPr>
          <w:p>
            <w:pPr>
              <w:tabs>
                <w:tab w:val="left" w:pos="-1843"/>
              </w:tabs>
              <w:suppressAutoHyphens/>
              <w:spacing w:line="276" w:lineRule="auto"/>
              <w:jc w:val="both"/>
              <w:rPr>
                <w:sz w:val="20"/>
                <w:lang w:eastAsia="lt-LT"/>
              </w:rPr>
            </w:pPr>
            <w:r>
              <w:rPr>
                <w:sz w:val="20"/>
                <w:lang w:eastAsia="lt-LT"/>
              </w:rPr>
              <w:t>5.1.9</w:t>
            </w:r>
          </w:p>
        </w:tc>
        <w:tc>
          <w:tcPr>
            <w:tcW w:w="2444" w:type="dxa"/>
            <w:tcBorders>
              <w:top w:val="single" w:sz="4" w:space="0" w:color="auto"/>
              <w:left w:val="single" w:sz="4" w:space="0" w:color="auto"/>
              <w:bottom w:val="single" w:sz="4" w:space="0" w:color="auto"/>
              <w:right w:val="single" w:sz="4" w:space="0" w:color="auto"/>
            </w:tcBorders>
          </w:tcPr>
          <w:p>
            <w:pPr>
              <w:tabs>
                <w:tab w:val="left" w:pos="-1843"/>
              </w:tabs>
              <w:suppressAutoHyphens/>
              <w:spacing w:line="276" w:lineRule="auto"/>
              <w:jc w:val="both"/>
              <w:rPr>
                <w:sz w:val="20"/>
                <w:lang w:eastAsia="lt-LT"/>
              </w:rPr>
            </w:pPr>
            <w:r>
              <w:rPr>
                <w:sz w:val="20"/>
                <w:lang w:eastAsia="lt-LT"/>
              </w:rPr>
              <w:t>šlaitinio stogo šiltinimas, įskaitant stogo konstrukcijos sustiprinimą ar deformacijų šalinimą, stogo dangos keitimą, lietaus nuvedimo sistemos sutvarkymą ar įrengimą</w:t>
            </w:r>
          </w:p>
        </w:tc>
        <w:tc>
          <w:tcPr>
            <w:tcW w:w="2409" w:type="dxa"/>
            <w:tcBorders>
              <w:top w:val="single" w:sz="4" w:space="0" w:color="auto"/>
              <w:left w:val="single" w:sz="4" w:space="0" w:color="auto"/>
              <w:bottom w:val="single" w:sz="4" w:space="0" w:color="auto"/>
              <w:right w:val="single" w:sz="4" w:space="0" w:color="auto"/>
            </w:tcBorders>
          </w:tcPr>
          <w:p>
            <w:pPr>
              <w:tabs>
                <w:tab w:val="left" w:pos="-1843"/>
              </w:tabs>
              <w:suppressAutoHyphens/>
              <w:spacing w:line="276" w:lineRule="auto"/>
              <w:jc w:val="both"/>
              <w:rPr>
                <w:sz w:val="20"/>
                <w:lang w:eastAsia="lt-LT"/>
              </w:rPr>
            </w:pPr>
          </w:p>
        </w:tc>
        <w:tc>
          <w:tcPr>
            <w:tcW w:w="1526" w:type="dxa"/>
            <w:tcBorders>
              <w:top w:val="single" w:sz="4" w:space="0" w:color="auto"/>
              <w:left w:val="single" w:sz="4" w:space="0" w:color="auto"/>
              <w:bottom w:val="single" w:sz="4" w:space="0" w:color="auto"/>
              <w:right w:val="single" w:sz="4" w:space="0" w:color="auto"/>
            </w:tcBorders>
          </w:tcPr>
          <w:p>
            <w:pPr>
              <w:tabs>
                <w:tab w:val="left" w:pos="-1843"/>
              </w:tabs>
              <w:suppressAutoHyphens/>
              <w:spacing w:line="276" w:lineRule="auto"/>
              <w:jc w:val="both"/>
              <w:rPr>
                <w:sz w:val="20"/>
                <w:lang w:eastAsia="lt-LT"/>
              </w:rPr>
            </w:pPr>
          </w:p>
        </w:tc>
        <w:tc>
          <w:tcPr>
            <w:tcW w:w="1026" w:type="dxa"/>
            <w:tcBorders>
              <w:top w:val="single" w:sz="4" w:space="0" w:color="auto"/>
              <w:left w:val="single" w:sz="4" w:space="0" w:color="auto"/>
              <w:bottom w:val="single" w:sz="4" w:space="0" w:color="auto"/>
              <w:right w:val="single" w:sz="4" w:space="0" w:color="auto"/>
            </w:tcBorders>
          </w:tcPr>
          <w:p>
            <w:pPr>
              <w:tabs>
                <w:tab w:val="left" w:pos="-1843"/>
              </w:tabs>
              <w:suppressAutoHyphens/>
              <w:spacing w:line="276" w:lineRule="auto"/>
              <w:jc w:val="both"/>
              <w:rPr>
                <w:sz w:val="20"/>
                <w:lang w:eastAsia="lt-LT"/>
              </w:rPr>
            </w:pPr>
            <w:r>
              <w:rPr>
                <w:sz w:val="20"/>
                <w:lang w:eastAsia="lt-LT"/>
              </w:rPr>
              <w:t>m</w:t>
            </w:r>
            <w:r>
              <w:rPr>
                <w:sz w:val="20"/>
                <w:vertAlign w:val="superscript"/>
                <w:lang w:eastAsia="lt-LT"/>
              </w:rPr>
              <w:t>2</w:t>
            </w:r>
          </w:p>
        </w:tc>
        <w:tc>
          <w:tcPr>
            <w:tcW w:w="887" w:type="dxa"/>
            <w:tcBorders>
              <w:left w:val="single" w:sz="4" w:space="0" w:color="auto"/>
              <w:right w:val="single" w:sz="4" w:space="0" w:color="auto"/>
            </w:tcBorders>
          </w:tcPr>
          <w:p>
            <w:pPr>
              <w:tabs>
                <w:tab w:val="left" w:pos="-1843"/>
              </w:tabs>
              <w:suppressAutoHyphens/>
              <w:spacing w:line="276" w:lineRule="auto"/>
              <w:jc w:val="both"/>
              <w:rPr>
                <w:sz w:val="20"/>
                <w:lang w:eastAsia="lt-LT"/>
              </w:rPr>
            </w:pPr>
          </w:p>
        </w:tc>
        <w:tc>
          <w:tcPr>
            <w:tcW w:w="530" w:type="dxa"/>
            <w:tcBorders>
              <w:left w:val="single" w:sz="4" w:space="0" w:color="auto"/>
              <w:right w:val="single" w:sz="4" w:space="0" w:color="auto"/>
            </w:tcBorders>
          </w:tcPr>
          <w:p>
            <w:pPr>
              <w:tabs>
                <w:tab w:val="left" w:pos="-1843"/>
              </w:tabs>
              <w:suppressAutoHyphens/>
              <w:spacing w:line="276" w:lineRule="auto"/>
              <w:jc w:val="both"/>
              <w:rPr>
                <w:sz w:val="20"/>
                <w:lang w:eastAsia="lt-LT"/>
              </w:rPr>
            </w:pPr>
          </w:p>
        </w:tc>
      </w:tr>
      <w:tr>
        <w:tc>
          <w:tcPr>
            <w:tcW w:w="817" w:type="dxa"/>
            <w:tcBorders>
              <w:top w:val="single" w:sz="4" w:space="0" w:color="auto"/>
              <w:left w:val="single" w:sz="4" w:space="0" w:color="auto"/>
              <w:bottom w:val="single" w:sz="4" w:space="0" w:color="auto"/>
              <w:right w:val="single" w:sz="4" w:space="0" w:color="auto"/>
            </w:tcBorders>
          </w:tcPr>
          <w:p>
            <w:pPr>
              <w:tabs>
                <w:tab w:val="left" w:pos="-1843"/>
              </w:tabs>
              <w:suppressAutoHyphens/>
              <w:spacing w:line="276" w:lineRule="auto"/>
              <w:jc w:val="both"/>
              <w:rPr>
                <w:sz w:val="20"/>
                <w:lang w:eastAsia="lt-LT"/>
              </w:rPr>
            </w:pPr>
            <w:r>
              <w:rPr>
                <w:sz w:val="20"/>
                <w:lang w:eastAsia="lt-LT"/>
              </w:rPr>
              <w:t>5.1.10</w:t>
            </w:r>
          </w:p>
        </w:tc>
        <w:tc>
          <w:tcPr>
            <w:tcW w:w="2444" w:type="dxa"/>
            <w:tcBorders>
              <w:top w:val="single" w:sz="4" w:space="0" w:color="auto"/>
              <w:left w:val="single" w:sz="4" w:space="0" w:color="auto"/>
              <w:bottom w:val="single" w:sz="4" w:space="0" w:color="auto"/>
              <w:right w:val="single" w:sz="4" w:space="0" w:color="auto"/>
            </w:tcBorders>
          </w:tcPr>
          <w:p>
            <w:pPr>
              <w:tabs>
                <w:tab w:val="left" w:pos="-1843"/>
              </w:tabs>
              <w:suppressAutoHyphens/>
              <w:spacing w:line="276" w:lineRule="auto"/>
              <w:jc w:val="both"/>
              <w:rPr>
                <w:sz w:val="20"/>
                <w:lang w:eastAsia="lt-LT"/>
              </w:rPr>
            </w:pPr>
            <w:r>
              <w:rPr>
                <w:sz w:val="20"/>
                <w:lang w:eastAsia="lt-LT"/>
              </w:rPr>
              <w:t>perdangos pastogėje šiltinimas</w:t>
            </w:r>
          </w:p>
        </w:tc>
        <w:tc>
          <w:tcPr>
            <w:tcW w:w="2409" w:type="dxa"/>
            <w:tcBorders>
              <w:top w:val="single" w:sz="4" w:space="0" w:color="auto"/>
              <w:left w:val="single" w:sz="4" w:space="0" w:color="auto"/>
              <w:bottom w:val="single" w:sz="4" w:space="0" w:color="auto"/>
              <w:right w:val="single" w:sz="4" w:space="0" w:color="auto"/>
            </w:tcBorders>
          </w:tcPr>
          <w:p>
            <w:pPr>
              <w:tabs>
                <w:tab w:val="left" w:pos="-1843"/>
              </w:tabs>
              <w:suppressAutoHyphens/>
              <w:spacing w:line="276" w:lineRule="auto"/>
              <w:jc w:val="both"/>
              <w:rPr>
                <w:sz w:val="20"/>
                <w:lang w:eastAsia="lt-LT"/>
              </w:rPr>
            </w:pPr>
          </w:p>
        </w:tc>
        <w:tc>
          <w:tcPr>
            <w:tcW w:w="1526" w:type="dxa"/>
            <w:tcBorders>
              <w:top w:val="single" w:sz="4" w:space="0" w:color="auto"/>
              <w:left w:val="single" w:sz="4" w:space="0" w:color="auto"/>
              <w:bottom w:val="single" w:sz="4" w:space="0" w:color="auto"/>
              <w:right w:val="single" w:sz="4" w:space="0" w:color="auto"/>
            </w:tcBorders>
          </w:tcPr>
          <w:p>
            <w:pPr>
              <w:tabs>
                <w:tab w:val="left" w:pos="-1843"/>
              </w:tabs>
              <w:suppressAutoHyphens/>
              <w:spacing w:line="276" w:lineRule="auto"/>
              <w:jc w:val="both"/>
              <w:rPr>
                <w:sz w:val="20"/>
                <w:lang w:eastAsia="lt-LT"/>
              </w:rPr>
            </w:pPr>
          </w:p>
        </w:tc>
        <w:tc>
          <w:tcPr>
            <w:tcW w:w="1026" w:type="dxa"/>
            <w:tcBorders>
              <w:top w:val="single" w:sz="4" w:space="0" w:color="auto"/>
              <w:left w:val="single" w:sz="4" w:space="0" w:color="auto"/>
              <w:bottom w:val="single" w:sz="4" w:space="0" w:color="auto"/>
              <w:right w:val="single" w:sz="4" w:space="0" w:color="auto"/>
            </w:tcBorders>
          </w:tcPr>
          <w:p>
            <w:pPr>
              <w:tabs>
                <w:tab w:val="left" w:pos="-1843"/>
              </w:tabs>
              <w:suppressAutoHyphens/>
              <w:spacing w:line="276" w:lineRule="auto"/>
              <w:jc w:val="both"/>
              <w:rPr>
                <w:sz w:val="20"/>
                <w:lang w:eastAsia="lt-LT"/>
              </w:rPr>
            </w:pPr>
            <w:r>
              <w:rPr>
                <w:sz w:val="20"/>
                <w:lang w:eastAsia="lt-LT"/>
              </w:rPr>
              <w:t>m</w:t>
            </w:r>
            <w:r>
              <w:rPr>
                <w:sz w:val="20"/>
                <w:vertAlign w:val="superscript"/>
                <w:lang w:eastAsia="lt-LT"/>
              </w:rPr>
              <w:t>2</w:t>
            </w:r>
          </w:p>
        </w:tc>
        <w:tc>
          <w:tcPr>
            <w:tcW w:w="887" w:type="dxa"/>
            <w:tcBorders>
              <w:left w:val="single" w:sz="4" w:space="0" w:color="auto"/>
              <w:right w:val="single" w:sz="4" w:space="0" w:color="auto"/>
            </w:tcBorders>
          </w:tcPr>
          <w:p>
            <w:pPr>
              <w:tabs>
                <w:tab w:val="left" w:pos="-1843"/>
              </w:tabs>
              <w:suppressAutoHyphens/>
              <w:spacing w:line="276" w:lineRule="auto"/>
              <w:jc w:val="both"/>
              <w:rPr>
                <w:sz w:val="20"/>
                <w:lang w:eastAsia="lt-LT"/>
              </w:rPr>
            </w:pPr>
          </w:p>
        </w:tc>
        <w:tc>
          <w:tcPr>
            <w:tcW w:w="530" w:type="dxa"/>
            <w:tcBorders>
              <w:left w:val="single" w:sz="4" w:space="0" w:color="auto"/>
              <w:right w:val="single" w:sz="4" w:space="0" w:color="auto"/>
            </w:tcBorders>
          </w:tcPr>
          <w:p>
            <w:pPr>
              <w:tabs>
                <w:tab w:val="left" w:pos="-1843"/>
              </w:tabs>
              <w:suppressAutoHyphens/>
              <w:spacing w:line="276" w:lineRule="auto"/>
              <w:jc w:val="both"/>
              <w:rPr>
                <w:sz w:val="20"/>
                <w:lang w:eastAsia="lt-LT"/>
              </w:rPr>
            </w:pPr>
          </w:p>
        </w:tc>
      </w:tr>
      <w:tr>
        <w:tc>
          <w:tcPr>
            <w:tcW w:w="817" w:type="dxa"/>
            <w:tcBorders>
              <w:top w:val="single" w:sz="4" w:space="0" w:color="auto"/>
              <w:left w:val="single" w:sz="4" w:space="0" w:color="auto"/>
              <w:bottom w:val="single" w:sz="4" w:space="0" w:color="auto"/>
              <w:right w:val="single" w:sz="4" w:space="0" w:color="auto"/>
            </w:tcBorders>
          </w:tcPr>
          <w:p>
            <w:pPr>
              <w:tabs>
                <w:tab w:val="left" w:pos="-1843"/>
              </w:tabs>
              <w:suppressAutoHyphens/>
              <w:spacing w:line="276" w:lineRule="auto"/>
              <w:jc w:val="both"/>
              <w:rPr>
                <w:sz w:val="20"/>
                <w:lang w:eastAsia="lt-LT"/>
              </w:rPr>
            </w:pPr>
            <w:r>
              <w:rPr>
                <w:sz w:val="20"/>
                <w:lang w:eastAsia="lt-LT"/>
              </w:rPr>
              <w:t>5.1.11</w:t>
            </w:r>
          </w:p>
        </w:tc>
        <w:tc>
          <w:tcPr>
            <w:tcW w:w="2444" w:type="dxa"/>
            <w:tcBorders>
              <w:top w:val="single" w:sz="4" w:space="0" w:color="auto"/>
              <w:left w:val="single" w:sz="4" w:space="0" w:color="auto"/>
              <w:bottom w:val="single" w:sz="4" w:space="0" w:color="auto"/>
              <w:right w:val="single" w:sz="4" w:space="0" w:color="auto"/>
            </w:tcBorders>
          </w:tcPr>
          <w:p>
            <w:pPr>
              <w:tabs>
                <w:tab w:val="left" w:pos="-1843"/>
              </w:tabs>
              <w:suppressAutoHyphens/>
              <w:spacing w:line="276" w:lineRule="auto"/>
              <w:jc w:val="both"/>
              <w:rPr>
                <w:sz w:val="20"/>
                <w:lang w:eastAsia="lt-LT"/>
              </w:rPr>
            </w:pPr>
            <w:r>
              <w:rPr>
                <w:sz w:val="20"/>
                <w:lang w:eastAsia="lt-LT"/>
              </w:rPr>
              <w:t>sutapdinto (plokščio) stogo šiltinimas, stogo dangos įrengimas</w:t>
            </w:r>
          </w:p>
        </w:tc>
        <w:tc>
          <w:tcPr>
            <w:tcW w:w="2409" w:type="dxa"/>
            <w:tcBorders>
              <w:top w:val="single" w:sz="4" w:space="0" w:color="auto"/>
              <w:left w:val="single" w:sz="4" w:space="0" w:color="auto"/>
              <w:bottom w:val="single" w:sz="4" w:space="0" w:color="auto"/>
              <w:right w:val="single" w:sz="4" w:space="0" w:color="auto"/>
            </w:tcBorders>
          </w:tcPr>
          <w:p>
            <w:pPr>
              <w:tabs>
                <w:tab w:val="left" w:pos="-1843"/>
              </w:tabs>
              <w:suppressAutoHyphens/>
              <w:spacing w:line="276" w:lineRule="auto"/>
              <w:jc w:val="both"/>
              <w:rPr>
                <w:sz w:val="20"/>
                <w:lang w:eastAsia="lt-LT"/>
              </w:rPr>
            </w:pPr>
          </w:p>
        </w:tc>
        <w:tc>
          <w:tcPr>
            <w:tcW w:w="1526" w:type="dxa"/>
            <w:tcBorders>
              <w:top w:val="single" w:sz="4" w:space="0" w:color="auto"/>
              <w:left w:val="single" w:sz="4" w:space="0" w:color="auto"/>
              <w:bottom w:val="single" w:sz="4" w:space="0" w:color="auto"/>
              <w:right w:val="single" w:sz="4" w:space="0" w:color="auto"/>
            </w:tcBorders>
          </w:tcPr>
          <w:p>
            <w:pPr>
              <w:tabs>
                <w:tab w:val="left" w:pos="-1843"/>
              </w:tabs>
              <w:suppressAutoHyphens/>
              <w:spacing w:line="276" w:lineRule="auto"/>
              <w:jc w:val="both"/>
              <w:rPr>
                <w:sz w:val="20"/>
                <w:lang w:eastAsia="lt-LT"/>
              </w:rPr>
            </w:pPr>
          </w:p>
        </w:tc>
        <w:tc>
          <w:tcPr>
            <w:tcW w:w="1026" w:type="dxa"/>
            <w:tcBorders>
              <w:top w:val="single" w:sz="4" w:space="0" w:color="auto"/>
              <w:left w:val="single" w:sz="4" w:space="0" w:color="auto"/>
              <w:bottom w:val="single" w:sz="4" w:space="0" w:color="auto"/>
              <w:right w:val="single" w:sz="4" w:space="0" w:color="auto"/>
            </w:tcBorders>
          </w:tcPr>
          <w:p>
            <w:pPr>
              <w:tabs>
                <w:tab w:val="left" w:pos="-1843"/>
              </w:tabs>
              <w:suppressAutoHyphens/>
              <w:spacing w:line="276" w:lineRule="auto"/>
              <w:jc w:val="both"/>
              <w:rPr>
                <w:sz w:val="20"/>
                <w:lang w:eastAsia="lt-LT"/>
              </w:rPr>
            </w:pPr>
            <w:r>
              <w:rPr>
                <w:sz w:val="20"/>
                <w:lang w:eastAsia="lt-LT"/>
              </w:rPr>
              <w:t>m</w:t>
            </w:r>
            <w:r>
              <w:rPr>
                <w:sz w:val="20"/>
                <w:vertAlign w:val="superscript"/>
                <w:lang w:eastAsia="lt-LT"/>
              </w:rPr>
              <w:t>2</w:t>
            </w:r>
          </w:p>
        </w:tc>
        <w:tc>
          <w:tcPr>
            <w:tcW w:w="887" w:type="dxa"/>
            <w:tcBorders>
              <w:left w:val="single" w:sz="4" w:space="0" w:color="auto"/>
              <w:right w:val="single" w:sz="4" w:space="0" w:color="auto"/>
            </w:tcBorders>
          </w:tcPr>
          <w:p>
            <w:pPr>
              <w:tabs>
                <w:tab w:val="left" w:pos="-1843"/>
              </w:tabs>
              <w:suppressAutoHyphens/>
              <w:spacing w:line="276" w:lineRule="auto"/>
              <w:jc w:val="both"/>
              <w:rPr>
                <w:sz w:val="20"/>
                <w:lang w:eastAsia="lt-LT"/>
              </w:rPr>
            </w:pPr>
          </w:p>
        </w:tc>
        <w:tc>
          <w:tcPr>
            <w:tcW w:w="530" w:type="dxa"/>
            <w:tcBorders>
              <w:left w:val="single" w:sz="4" w:space="0" w:color="auto"/>
              <w:right w:val="single" w:sz="4" w:space="0" w:color="auto"/>
            </w:tcBorders>
          </w:tcPr>
          <w:p>
            <w:pPr>
              <w:tabs>
                <w:tab w:val="left" w:pos="-1843"/>
              </w:tabs>
              <w:suppressAutoHyphens/>
              <w:spacing w:line="276" w:lineRule="auto"/>
              <w:jc w:val="both"/>
              <w:rPr>
                <w:sz w:val="20"/>
                <w:lang w:eastAsia="lt-LT"/>
              </w:rPr>
            </w:pPr>
          </w:p>
        </w:tc>
      </w:tr>
      <w:tr>
        <w:tc>
          <w:tcPr>
            <w:tcW w:w="817" w:type="dxa"/>
            <w:tcBorders>
              <w:top w:val="single" w:sz="4" w:space="0" w:color="auto"/>
              <w:left w:val="single" w:sz="4" w:space="0" w:color="auto"/>
              <w:bottom w:val="single" w:sz="4" w:space="0" w:color="auto"/>
              <w:right w:val="single" w:sz="4" w:space="0" w:color="auto"/>
            </w:tcBorders>
          </w:tcPr>
          <w:p>
            <w:pPr>
              <w:tabs>
                <w:tab w:val="left" w:pos="-1843"/>
              </w:tabs>
              <w:suppressAutoHyphens/>
              <w:spacing w:line="276" w:lineRule="auto"/>
              <w:jc w:val="both"/>
              <w:rPr>
                <w:sz w:val="20"/>
                <w:lang w:eastAsia="lt-LT"/>
              </w:rPr>
            </w:pPr>
            <w:r>
              <w:rPr>
                <w:sz w:val="20"/>
                <w:lang w:eastAsia="lt-LT"/>
              </w:rPr>
              <w:t>5.1.12</w:t>
            </w:r>
          </w:p>
        </w:tc>
        <w:tc>
          <w:tcPr>
            <w:tcW w:w="2444" w:type="dxa"/>
            <w:tcBorders>
              <w:top w:val="single" w:sz="4" w:space="0" w:color="auto"/>
              <w:left w:val="single" w:sz="4" w:space="0" w:color="auto"/>
              <w:bottom w:val="single" w:sz="4" w:space="0" w:color="auto"/>
              <w:right w:val="single" w:sz="4" w:space="0" w:color="auto"/>
            </w:tcBorders>
          </w:tcPr>
          <w:p>
            <w:pPr>
              <w:tabs>
                <w:tab w:val="left" w:pos="-1843"/>
              </w:tabs>
              <w:suppressAutoHyphens/>
              <w:spacing w:line="276" w:lineRule="auto"/>
              <w:jc w:val="both"/>
              <w:rPr>
                <w:sz w:val="20"/>
                <w:lang w:eastAsia="lt-LT"/>
              </w:rPr>
            </w:pPr>
            <w:r>
              <w:rPr>
                <w:sz w:val="20"/>
                <w:lang w:eastAsia="lt-LT"/>
              </w:rPr>
              <w:t>išorinių sienų šiltinimas, įskaitant sienų konstrukcijos defektų pašalinimą</w:t>
            </w:r>
          </w:p>
        </w:tc>
        <w:tc>
          <w:tcPr>
            <w:tcW w:w="2409" w:type="dxa"/>
            <w:tcBorders>
              <w:top w:val="single" w:sz="4" w:space="0" w:color="auto"/>
              <w:left w:val="single" w:sz="4" w:space="0" w:color="auto"/>
              <w:bottom w:val="single" w:sz="4" w:space="0" w:color="auto"/>
              <w:right w:val="single" w:sz="4" w:space="0" w:color="auto"/>
            </w:tcBorders>
          </w:tcPr>
          <w:p>
            <w:pPr>
              <w:tabs>
                <w:tab w:val="left" w:pos="-1843"/>
              </w:tabs>
              <w:suppressAutoHyphens/>
              <w:spacing w:line="276" w:lineRule="auto"/>
              <w:jc w:val="both"/>
              <w:rPr>
                <w:sz w:val="20"/>
                <w:lang w:eastAsia="lt-LT"/>
              </w:rPr>
            </w:pPr>
          </w:p>
        </w:tc>
        <w:tc>
          <w:tcPr>
            <w:tcW w:w="1526" w:type="dxa"/>
            <w:tcBorders>
              <w:top w:val="single" w:sz="4" w:space="0" w:color="auto"/>
              <w:left w:val="single" w:sz="4" w:space="0" w:color="auto"/>
              <w:bottom w:val="single" w:sz="4" w:space="0" w:color="auto"/>
              <w:right w:val="single" w:sz="4" w:space="0" w:color="auto"/>
            </w:tcBorders>
          </w:tcPr>
          <w:p>
            <w:pPr>
              <w:tabs>
                <w:tab w:val="left" w:pos="-1843"/>
              </w:tabs>
              <w:suppressAutoHyphens/>
              <w:spacing w:line="276" w:lineRule="auto"/>
              <w:jc w:val="both"/>
              <w:rPr>
                <w:sz w:val="20"/>
                <w:lang w:eastAsia="lt-LT"/>
              </w:rPr>
            </w:pPr>
          </w:p>
        </w:tc>
        <w:tc>
          <w:tcPr>
            <w:tcW w:w="1026" w:type="dxa"/>
            <w:tcBorders>
              <w:top w:val="single" w:sz="4" w:space="0" w:color="auto"/>
              <w:left w:val="single" w:sz="4" w:space="0" w:color="auto"/>
              <w:bottom w:val="single" w:sz="4" w:space="0" w:color="auto"/>
              <w:right w:val="single" w:sz="4" w:space="0" w:color="auto"/>
            </w:tcBorders>
          </w:tcPr>
          <w:p>
            <w:pPr>
              <w:tabs>
                <w:tab w:val="left" w:pos="-1843"/>
              </w:tabs>
              <w:suppressAutoHyphens/>
              <w:spacing w:line="276" w:lineRule="auto"/>
              <w:jc w:val="both"/>
              <w:rPr>
                <w:sz w:val="20"/>
                <w:lang w:eastAsia="lt-LT"/>
              </w:rPr>
            </w:pPr>
            <w:r>
              <w:rPr>
                <w:sz w:val="20"/>
                <w:lang w:eastAsia="lt-LT"/>
              </w:rPr>
              <w:t>m</w:t>
            </w:r>
            <w:r>
              <w:rPr>
                <w:sz w:val="20"/>
                <w:vertAlign w:val="superscript"/>
                <w:lang w:eastAsia="lt-LT"/>
              </w:rPr>
              <w:t>2</w:t>
            </w:r>
          </w:p>
        </w:tc>
        <w:tc>
          <w:tcPr>
            <w:tcW w:w="887" w:type="dxa"/>
            <w:tcBorders>
              <w:left w:val="single" w:sz="4" w:space="0" w:color="auto"/>
              <w:right w:val="single" w:sz="4" w:space="0" w:color="auto"/>
            </w:tcBorders>
          </w:tcPr>
          <w:p>
            <w:pPr>
              <w:tabs>
                <w:tab w:val="left" w:pos="-1843"/>
              </w:tabs>
              <w:suppressAutoHyphens/>
              <w:spacing w:line="276" w:lineRule="auto"/>
              <w:jc w:val="both"/>
              <w:rPr>
                <w:sz w:val="20"/>
                <w:lang w:eastAsia="lt-LT"/>
              </w:rPr>
            </w:pPr>
          </w:p>
        </w:tc>
        <w:tc>
          <w:tcPr>
            <w:tcW w:w="530" w:type="dxa"/>
            <w:tcBorders>
              <w:left w:val="single" w:sz="4" w:space="0" w:color="auto"/>
              <w:right w:val="single" w:sz="4" w:space="0" w:color="auto"/>
            </w:tcBorders>
          </w:tcPr>
          <w:p>
            <w:pPr>
              <w:tabs>
                <w:tab w:val="left" w:pos="-1843"/>
              </w:tabs>
              <w:suppressAutoHyphens/>
              <w:spacing w:line="276" w:lineRule="auto"/>
              <w:jc w:val="both"/>
              <w:rPr>
                <w:sz w:val="20"/>
                <w:lang w:eastAsia="lt-LT"/>
              </w:rPr>
            </w:pPr>
          </w:p>
        </w:tc>
      </w:tr>
      <w:tr>
        <w:tc>
          <w:tcPr>
            <w:tcW w:w="817" w:type="dxa"/>
            <w:tcBorders>
              <w:top w:val="single" w:sz="4" w:space="0" w:color="auto"/>
              <w:left w:val="single" w:sz="4" w:space="0" w:color="auto"/>
              <w:bottom w:val="single" w:sz="4" w:space="0" w:color="auto"/>
              <w:right w:val="single" w:sz="4" w:space="0" w:color="auto"/>
            </w:tcBorders>
          </w:tcPr>
          <w:p>
            <w:pPr>
              <w:tabs>
                <w:tab w:val="left" w:pos="-1843"/>
              </w:tabs>
              <w:suppressAutoHyphens/>
              <w:spacing w:line="276" w:lineRule="auto"/>
              <w:jc w:val="both"/>
              <w:rPr>
                <w:sz w:val="20"/>
                <w:lang w:eastAsia="lt-LT"/>
              </w:rPr>
            </w:pPr>
            <w:r>
              <w:rPr>
                <w:sz w:val="20"/>
                <w:lang w:eastAsia="lt-LT"/>
              </w:rPr>
              <w:t>5.1.13</w:t>
            </w:r>
          </w:p>
        </w:tc>
        <w:tc>
          <w:tcPr>
            <w:tcW w:w="2444" w:type="dxa"/>
            <w:tcBorders>
              <w:top w:val="single" w:sz="4" w:space="0" w:color="auto"/>
              <w:left w:val="single" w:sz="4" w:space="0" w:color="auto"/>
              <w:bottom w:val="single" w:sz="4" w:space="0" w:color="auto"/>
              <w:right w:val="single" w:sz="4" w:space="0" w:color="auto"/>
            </w:tcBorders>
          </w:tcPr>
          <w:p>
            <w:pPr>
              <w:tabs>
                <w:tab w:val="left" w:pos="-1843"/>
              </w:tabs>
              <w:suppressAutoHyphens/>
              <w:spacing w:line="276" w:lineRule="auto"/>
              <w:jc w:val="both"/>
              <w:rPr>
                <w:sz w:val="20"/>
                <w:lang w:eastAsia="lt-LT"/>
              </w:rPr>
            </w:pPr>
            <w:r>
              <w:rPr>
                <w:sz w:val="20"/>
                <w:lang w:eastAsia="lt-LT"/>
              </w:rPr>
              <w:t>cokolio šiltinimas, įskaitant cokolio konstrukcijos defektų pašalinimą, elektros, dujų ar kitų sistemų ar įrengimų nuo šiltinamos sienos (cokolio) atitraukimą</w:t>
            </w:r>
          </w:p>
        </w:tc>
        <w:tc>
          <w:tcPr>
            <w:tcW w:w="2409" w:type="dxa"/>
            <w:tcBorders>
              <w:top w:val="single" w:sz="4" w:space="0" w:color="auto"/>
              <w:left w:val="single" w:sz="4" w:space="0" w:color="auto"/>
              <w:bottom w:val="single" w:sz="4" w:space="0" w:color="auto"/>
              <w:right w:val="single" w:sz="4" w:space="0" w:color="auto"/>
            </w:tcBorders>
          </w:tcPr>
          <w:p>
            <w:pPr>
              <w:tabs>
                <w:tab w:val="left" w:pos="-1843"/>
              </w:tabs>
              <w:suppressAutoHyphens/>
              <w:spacing w:line="276" w:lineRule="auto"/>
              <w:jc w:val="both"/>
              <w:rPr>
                <w:sz w:val="20"/>
                <w:lang w:eastAsia="lt-LT"/>
              </w:rPr>
            </w:pPr>
          </w:p>
        </w:tc>
        <w:tc>
          <w:tcPr>
            <w:tcW w:w="1526" w:type="dxa"/>
            <w:tcBorders>
              <w:top w:val="single" w:sz="4" w:space="0" w:color="auto"/>
              <w:left w:val="single" w:sz="4" w:space="0" w:color="auto"/>
              <w:bottom w:val="single" w:sz="4" w:space="0" w:color="auto"/>
              <w:right w:val="single" w:sz="4" w:space="0" w:color="auto"/>
            </w:tcBorders>
          </w:tcPr>
          <w:p>
            <w:pPr>
              <w:tabs>
                <w:tab w:val="left" w:pos="-1843"/>
              </w:tabs>
              <w:suppressAutoHyphens/>
              <w:spacing w:line="276" w:lineRule="auto"/>
              <w:jc w:val="both"/>
              <w:rPr>
                <w:sz w:val="20"/>
                <w:lang w:eastAsia="lt-LT"/>
              </w:rPr>
            </w:pPr>
          </w:p>
        </w:tc>
        <w:tc>
          <w:tcPr>
            <w:tcW w:w="1026" w:type="dxa"/>
            <w:tcBorders>
              <w:top w:val="single" w:sz="4" w:space="0" w:color="auto"/>
              <w:left w:val="single" w:sz="4" w:space="0" w:color="auto"/>
              <w:bottom w:val="single" w:sz="4" w:space="0" w:color="auto"/>
              <w:right w:val="single" w:sz="4" w:space="0" w:color="auto"/>
            </w:tcBorders>
          </w:tcPr>
          <w:p>
            <w:pPr>
              <w:tabs>
                <w:tab w:val="left" w:pos="-1843"/>
              </w:tabs>
              <w:suppressAutoHyphens/>
              <w:spacing w:line="276" w:lineRule="auto"/>
              <w:jc w:val="both"/>
              <w:rPr>
                <w:sz w:val="20"/>
                <w:lang w:eastAsia="lt-LT"/>
              </w:rPr>
            </w:pPr>
            <w:r>
              <w:rPr>
                <w:sz w:val="20"/>
                <w:lang w:eastAsia="lt-LT"/>
              </w:rPr>
              <w:t>m</w:t>
            </w:r>
            <w:r>
              <w:rPr>
                <w:sz w:val="20"/>
                <w:vertAlign w:val="superscript"/>
                <w:lang w:eastAsia="lt-LT"/>
              </w:rPr>
              <w:t>2</w:t>
            </w:r>
          </w:p>
        </w:tc>
        <w:tc>
          <w:tcPr>
            <w:tcW w:w="887" w:type="dxa"/>
            <w:tcBorders>
              <w:left w:val="single" w:sz="4" w:space="0" w:color="auto"/>
              <w:right w:val="single" w:sz="4" w:space="0" w:color="auto"/>
            </w:tcBorders>
          </w:tcPr>
          <w:p>
            <w:pPr>
              <w:tabs>
                <w:tab w:val="left" w:pos="-1843"/>
              </w:tabs>
              <w:suppressAutoHyphens/>
              <w:spacing w:line="276" w:lineRule="auto"/>
              <w:jc w:val="both"/>
              <w:rPr>
                <w:sz w:val="20"/>
                <w:lang w:eastAsia="lt-LT"/>
              </w:rPr>
            </w:pPr>
          </w:p>
        </w:tc>
        <w:tc>
          <w:tcPr>
            <w:tcW w:w="530" w:type="dxa"/>
            <w:tcBorders>
              <w:left w:val="single" w:sz="4" w:space="0" w:color="auto"/>
              <w:right w:val="single" w:sz="4" w:space="0" w:color="auto"/>
            </w:tcBorders>
          </w:tcPr>
          <w:p>
            <w:pPr>
              <w:tabs>
                <w:tab w:val="left" w:pos="-1843"/>
              </w:tabs>
              <w:suppressAutoHyphens/>
              <w:spacing w:line="276" w:lineRule="auto"/>
              <w:jc w:val="both"/>
              <w:rPr>
                <w:sz w:val="20"/>
                <w:lang w:eastAsia="lt-LT"/>
              </w:rPr>
            </w:pPr>
          </w:p>
        </w:tc>
      </w:tr>
      <w:tr>
        <w:tc>
          <w:tcPr>
            <w:tcW w:w="817" w:type="dxa"/>
            <w:tcBorders>
              <w:top w:val="single" w:sz="4" w:space="0" w:color="auto"/>
              <w:left w:val="single" w:sz="4" w:space="0" w:color="auto"/>
              <w:bottom w:val="single" w:sz="4" w:space="0" w:color="auto"/>
              <w:right w:val="single" w:sz="4" w:space="0" w:color="auto"/>
            </w:tcBorders>
          </w:tcPr>
          <w:p>
            <w:pPr>
              <w:tabs>
                <w:tab w:val="left" w:pos="-1843"/>
              </w:tabs>
              <w:suppressAutoHyphens/>
              <w:spacing w:line="276" w:lineRule="auto"/>
              <w:jc w:val="both"/>
              <w:rPr>
                <w:sz w:val="20"/>
                <w:lang w:eastAsia="lt-LT"/>
              </w:rPr>
            </w:pPr>
            <w:r>
              <w:rPr>
                <w:sz w:val="20"/>
                <w:lang w:eastAsia="lt-LT"/>
              </w:rPr>
              <w:t>5.1.14</w:t>
            </w:r>
          </w:p>
        </w:tc>
        <w:tc>
          <w:tcPr>
            <w:tcW w:w="2444" w:type="dxa"/>
            <w:tcBorders>
              <w:top w:val="single" w:sz="4" w:space="0" w:color="auto"/>
              <w:left w:val="single" w:sz="4" w:space="0" w:color="auto"/>
              <w:bottom w:val="single" w:sz="4" w:space="0" w:color="auto"/>
              <w:right w:val="single" w:sz="4" w:space="0" w:color="auto"/>
            </w:tcBorders>
          </w:tcPr>
          <w:p>
            <w:pPr>
              <w:tabs>
                <w:tab w:val="left" w:pos="-1843"/>
              </w:tabs>
              <w:suppressAutoHyphens/>
              <w:spacing w:line="276" w:lineRule="auto"/>
              <w:jc w:val="both"/>
              <w:rPr>
                <w:sz w:val="20"/>
                <w:lang w:eastAsia="lt-LT"/>
              </w:rPr>
            </w:pPr>
            <w:r>
              <w:rPr>
                <w:sz w:val="20"/>
                <w:lang w:eastAsia="lt-LT"/>
              </w:rPr>
              <w:t>nuogrindos sutvarkymas</w:t>
            </w:r>
          </w:p>
        </w:tc>
        <w:tc>
          <w:tcPr>
            <w:tcW w:w="2409" w:type="dxa"/>
            <w:tcBorders>
              <w:top w:val="single" w:sz="4" w:space="0" w:color="auto"/>
              <w:left w:val="single" w:sz="4" w:space="0" w:color="auto"/>
              <w:bottom w:val="single" w:sz="4" w:space="0" w:color="auto"/>
              <w:right w:val="single" w:sz="4" w:space="0" w:color="auto"/>
            </w:tcBorders>
          </w:tcPr>
          <w:p>
            <w:pPr>
              <w:tabs>
                <w:tab w:val="left" w:pos="-1843"/>
              </w:tabs>
              <w:suppressAutoHyphens/>
              <w:spacing w:line="276" w:lineRule="auto"/>
              <w:jc w:val="both"/>
              <w:rPr>
                <w:sz w:val="20"/>
                <w:lang w:eastAsia="lt-LT"/>
              </w:rPr>
            </w:pPr>
          </w:p>
        </w:tc>
        <w:tc>
          <w:tcPr>
            <w:tcW w:w="1526" w:type="dxa"/>
            <w:tcBorders>
              <w:top w:val="single" w:sz="4" w:space="0" w:color="auto"/>
              <w:left w:val="single" w:sz="4" w:space="0" w:color="auto"/>
              <w:bottom w:val="single" w:sz="4" w:space="0" w:color="auto"/>
              <w:right w:val="single" w:sz="4" w:space="0" w:color="auto"/>
            </w:tcBorders>
          </w:tcPr>
          <w:p>
            <w:pPr>
              <w:tabs>
                <w:tab w:val="left" w:pos="-1843"/>
              </w:tabs>
              <w:suppressAutoHyphens/>
              <w:spacing w:line="276" w:lineRule="auto"/>
              <w:jc w:val="both"/>
              <w:rPr>
                <w:sz w:val="20"/>
                <w:lang w:eastAsia="lt-LT"/>
              </w:rPr>
            </w:pPr>
          </w:p>
        </w:tc>
        <w:tc>
          <w:tcPr>
            <w:tcW w:w="1026" w:type="dxa"/>
            <w:tcBorders>
              <w:top w:val="single" w:sz="4" w:space="0" w:color="auto"/>
              <w:left w:val="single" w:sz="4" w:space="0" w:color="auto"/>
              <w:bottom w:val="single" w:sz="4" w:space="0" w:color="auto"/>
              <w:right w:val="single" w:sz="4" w:space="0" w:color="auto"/>
            </w:tcBorders>
          </w:tcPr>
          <w:p>
            <w:pPr>
              <w:tabs>
                <w:tab w:val="left" w:pos="-1843"/>
              </w:tabs>
              <w:suppressAutoHyphens/>
              <w:spacing w:line="276" w:lineRule="auto"/>
              <w:jc w:val="both"/>
              <w:rPr>
                <w:sz w:val="20"/>
                <w:lang w:eastAsia="lt-LT"/>
              </w:rPr>
            </w:pPr>
            <w:r>
              <w:rPr>
                <w:sz w:val="20"/>
                <w:lang w:eastAsia="lt-LT"/>
              </w:rPr>
              <w:t>m</w:t>
            </w:r>
            <w:r>
              <w:rPr>
                <w:sz w:val="20"/>
                <w:vertAlign w:val="superscript"/>
                <w:lang w:eastAsia="lt-LT"/>
              </w:rPr>
              <w:t>2</w:t>
            </w:r>
          </w:p>
        </w:tc>
        <w:tc>
          <w:tcPr>
            <w:tcW w:w="887" w:type="dxa"/>
            <w:tcBorders>
              <w:left w:val="single" w:sz="4" w:space="0" w:color="auto"/>
              <w:right w:val="single" w:sz="4" w:space="0" w:color="auto"/>
            </w:tcBorders>
          </w:tcPr>
          <w:p>
            <w:pPr>
              <w:tabs>
                <w:tab w:val="left" w:pos="-1843"/>
              </w:tabs>
              <w:suppressAutoHyphens/>
              <w:spacing w:line="276" w:lineRule="auto"/>
              <w:jc w:val="both"/>
              <w:rPr>
                <w:sz w:val="20"/>
                <w:lang w:eastAsia="lt-LT"/>
              </w:rPr>
            </w:pPr>
          </w:p>
        </w:tc>
        <w:tc>
          <w:tcPr>
            <w:tcW w:w="530" w:type="dxa"/>
            <w:tcBorders>
              <w:left w:val="single" w:sz="4" w:space="0" w:color="auto"/>
              <w:right w:val="single" w:sz="4" w:space="0" w:color="auto"/>
            </w:tcBorders>
          </w:tcPr>
          <w:p>
            <w:pPr>
              <w:tabs>
                <w:tab w:val="left" w:pos="-1843"/>
              </w:tabs>
              <w:suppressAutoHyphens/>
              <w:spacing w:line="276" w:lineRule="auto"/>
              <w:jc w:val="both"/>
              <w:rPr>
                <w:sz w:val="20"/>
                <w:lang w:eastAsia="lt-LT"/>
              </w:rPr>
            </w:pPr>
          </w:p>
        </w:tc>
      </w:tr>
      <w:tr>
        <w:tc>
          <w:tcPr>
            <w:tcW w:w="817" w:type="dxa"/>
            <w:tcBorders>
              <w:top w:val="single" w:sz="4" w:space="0" w:color="auto"/>
              <w:left w:val="single" w:sz="4" w:space="0" w:color="auto"/>
              <w:bottom w:val="single" w:sz="4" w:space="0" w:color="auto"/>
              <w:right w:val="single" w:sz="4" w:space="0" w:color="auto"/>
            </w:tcBorders>
          </w:tcPr>
          <w:p>
            <w:pPr>
              <w:tabs>
                <w:tab w:val="left" w:pos="-1843"/>
              </w:tabs>
              <w:suppressAutoHyphens/>
              <w:spacing w:line="276" w:lineRule="auto"/>
              <w:jc w:val="both"/>
              <w:rPr>
                <w:sz w:val="20"/>
                <w:lang w:eastAsia="lt-LT"/>
              </w:rPr>
            </w:pPr>
            <w:r>
              <w:rPr>
                <w:sz w:val="20"/>
                <w:lang w:eastAsia="lt-LT"/>
              </w:rPr>
              <w:t>5.1.15</w:t>
            </w:r>
          </w:p>
        </w:tc>
        <w:tc>
          <w:tcPr>
            <w:tcW w:w="2444" w:type="dxa"/>
            <w:tcBorders>
              <w:top w:val="single" w:sz="4" w:space="0" w:color="auto"/>
              <w:left w:val="single" w:sz="4" w:space="0" w:color="auto"/>
              <w:bottom w:val="single" w:sz="4" w:space="0" w:color="auto"/>
              <w:right w:val="single" w:sz="4" w:space="0" w:color="auto"/>
            </w:tcBorders>
          </w:tcPr>
          <w:p>
            <w:pPr>
              <w:tabs>
                <w:tab w:val="left" w:pos="-1843"/>
              </w:tabs>
              <w:suppressAutoHyphens/>
              <w:spacing w:line="276" w:lineRule="auto"/>
              <w:jc w:val="both"/>
              <w:rPr>
                <w:sz w:val="20"/>
                <w:lang w:eastAsia="lt-LT"/>
              </w:rPr>
            </w:pPr>
            <w:r>
              <w:rPr>
                <w:sz w:val="20"/>
                <w:lang w:eastAsia="lt-LT"/>
              </w:rPr>
              <w:t>balkonų ar lodžijų įstiklinimas, įskaitant esamos balkonų ar lodžijų konstrukcijos sustiprinimą ir (ar) naujos įstiklinimo konstrukcijos įrengimą pagal vieną projektą</w:t>
            </w:r>
          </w:p>
        </w:tc>
        <w:tc>
          <w:tcPr>
            <w:tcW w:w="2409" w:type="dxa"/>
            <w:tcBorders>
              <w:top w:val="single" w:sz="4" w:space="0" w:color="auto"/>
              <w:left w:val="single" w:sz="4" w:space="0" w:color="auto"/>
              <w:bottom w:val="single" w:sz="4" w:space="0" w:color="auto"/>
              <w:right w:val="single" w:sz="4" w:space="0" w:color="auto"/>
            </w:tcBorders>
          </w:tcPr>
          <w:p>
            <w:pPr>
              <w:tabs>
                <w:tab w:val="left" w:pos="-1843"/>
              </w:tabs>
              <w:suppressAutoHyphens/>
              <w:spacing w:line="276" w:lineRule="auto"/>
              <w:jc w:val="both"/>
              <w:rPr>
                <w:sz w:val="20"/>
                <w:lang w:eastAsia="lt-LT"/>
              </w:rPr>
            </w:pPr>
          </w:p>
        </w:tc>
        <w:tc>
          <w:tcPr>
            <w:tcW w:w="1526" w:type="dxa"/>
            <w:tcBorders>
              <w:top w:val="single" w:sz="4" w:space="0" w:color="auto"/>
              <w:left w:val="single" w:sz="4" w:space="0" w:color="auto"/>
              <w:bottom w:val="single" w:sz="4" w:space="0" w:color="auto"/>
              <w:right w:val="single" w:sz="4" w:space="0" w:color="auto"/>
            </w:tcBorders>
          </w:tcPr>
          <w:p>
            <w:pPr>
              <w:tabs>
                <w:tab w:val="left" w:pos="-1843"/>
              </w:tabs>
              <w:suppressAutoHyphens/>
              <w:spacing w:line="276" w:lineRule="auto"/>
              <w:jc w:val="both"/>
              <w:rPr>
                <w:sz w:val="20"/>
                <w:lang w:eastAsia="lt-LT"/>
              </w:rPr>
            </w:pPr>
          </w:p>
        </w:tc>
        <w:tc>
          <w:tcPr>
            <w:tcW w:w="1026" w:type="dxa"/>
            <w:tcBorders>
              <w:top w:val="single" w:sz="4" w:space="0" w:color="auto"/>
              <w:left w:val="single" w:sz="4" w:space="0" w:color="auto"/>
              <w:bottom w:val="single" w:sz="4" w:space="0" w:color="auto"/>
              <w:right w:val="single" w:sz="4" w:space="0" w:color="auto"/>
            </w:tcBorders>
          </w:tcPr>
          <w:p>
            <w:pPr>
              <w:tabs>
                <w:tab w:val="left" w:pos="-1843"/>
              </w:tabs>
              <w:suppressAutoHyphens/>
              <w:spacing w:line="276" w:lineRule="auto"/>
              <w:jc w:val="both"/>
              <w:rPr>
                <w:sz w:val="20"/>
                <w:lang w:eastAsia="lt-LT"/>
              </w:rPr>
            </w:pPr>
            <w:r>
              <w:rPr>
                <w:sz w:val="20"/>
                <w:lang w:eastAsia="lt-LT"/>
              </w:rPr>
              <w:t>m</w:t>
            </w:r>
            <w:r>
              <w:rPr>
                <w:sz w:val="20"/>
                <w:vertAlign w:val="superscript"/>
                <w:lang w:eastAsia="lt-LT"/>
              </w:rPr>
              <w:t>2</w:t>
            </w:r>
          </w:p>
        </w:tc>
        <w:tc>
          <w:tcPr>
            <w:tcW w:w="887" w:type="dxa"/>
            <w:tcBorders>
              <w:left w:val="single" w:sz="4" w:space="0" w:color="auto"/>
              <w:right w:val="single" w:sz="4" w:space="0" w:color="auto"/>
            </w:tcBorders>
          </w:tcPr>
          <w:p>
            <w:pPr>
              <w:tabs>
                <w:tab w:val="left" w:pos="-1843"/>
              </w:tabs>
              <w:suppressAutoHyphens/>
              <w:spacing w:line="276" w:lineRule="auto"/>
              <w:jc w:val="both"/>
              <w:rPr>
                <w:sz w:val="20"/>
                <w:lang w:eastAsia="lt-LT"/>
              </w:rPr>
            </w:pPr>
          </w:p>
        </w:tc>
        <w:tc>
          <w:tcPr>
            <w:tcW w:w="530" w:type="dxa"/>
            <w:tcBorders>
              <w:left w:val="single" w:sz="4" w:space="0" w:color="auto"/>
              <w:right w:val="single" w:sz="4" w:space="0" w:color="auto"/>
            </w:tcBorders>
          </w:tcPr>
          <w:p>
            <w:pPr>
              <w:tabs>
                <w:tab w:val="left" w:pos="-1843"/>
              </w:tabs>
              <w:suppressAutoHyphens/>
              <w:spacing w:line="276" w:lineRule="auto"/>
              <w:jc w:val="both"/>
              <w:rPr>
                <w:sz w:val="20"/>
                <w:lang w:eastAsia="lt-LT"/>
              </w:rPr>
            </w:pPr>
          </w:p>
        </w:tc>
      </w:tr>
      <w:tr>
        <w:tc>
          <w:tcPr>
            <w:tcW w:w="817" w:type="dxa"/>
            <w:tcBorders>
              <w:top w:val="single" w:sz="4" w:space="0" w:color="auto"/>
              <w:left w:val="single" w:sz="4" w:space="0" w:color="auto"/>
              <w:bottom w:val="single" w:sz="4" w:space="0" w:color="auto"/>
              <w:right w:val="single" w:sz="4" w:space="0" w:color="auto"/>
            </w:tcBorders>
          </w:tcPr>
          <w:p>
            <w:pPr>
              <w:tabs>
                <w:tab w:val="left" w:pos="-1843"/>
              </w:tabs>
              <w:suppressAutoHyphens/>
              <w:spacing w:line="276" w:lineRule="auto"/>
              <w:jc w:val="both"/>
              <w:rPr>
                <w:sz w:val="20"/>
                <w:lang w:eastAsia="lt-LT"/>
              </w:rPr>
            </w:pPr>
            <w:r>
              <w:rPr>
                <w:sz w:val="20"/>
                <w:lang w:eastAsia="lt-LT"/>
              </w:rPr>
              <w:t>5.1.16</w:t>
            </w:r>
          </w:p>
        </w:tc>
        <w:tc>
          <w:tcPr>
            <w:tcW w:w="2444" w:type="dxa"/>
            <w:tcBorders>
              <w:top w:val="single" w:sz="4" w:space="0" w:color="auto"/>
              <w:left w:val="single" w:sz="4" w:space="0" w:color="auto"/>
              <w:bottom w:val="single" w:sz="4" w:space="0" w:color="auto"/>
              <w:right w:val="single" w:sz="4" w:space="0" w:color="auto"/>
            </w:tcBorders>
          </w:tcPr>
          <w:p>
            <w:pPr>
              <w:tabs>
                <w:tab w:val="left" w:pos="-1843"/>
              </w:tabs>
              <w:suppressAutoHyphens/>
              <w:spacing w:line="276" w:lineRule="auto"/>
              <w:jc w:val="both"/>
              <w:rPr>
                <w:sz w:val="20"/>
                <w:lang w:eastAsia="lt-LT"/>
              </w:rPr>
            </w:pPr>
            <w:r>
              <w:rPr>
                <w:sz w:val="20"/>
                <w:lang w:eastAsia="lt-LT"/>
              </w:rPr>
              <w:t>bendrojo naudojimo patalpose esančių langų keitimas (įskaitant apdailos darbus)</w:t>
            </w:r>
          </w:p>
        </w:tc>
        <w:tc>
          <w:tcPr>
            <w:tcW w:w="2409" w:type="dxa"/>
            <w:tcBorders>
              <w:top w:val="single" w:sz="4" w:space="0" w:color="auto"/>
              <w:left w:val="single" w:sz="4" w:space="0" w:color="auto"/>
              <w:bottom w:val="single" w:sz="4" w:space="0" w:color="auto"/>
              <w:right w:val="single" w:sz="4" w:space="0" w:color="auto"/>
            </w:tcBorders>
          </w:tcPr>
          <w:p>
            <w:pPr>
              <w:tabs>
                <w:tab w:val="left" w:pos="-1843"/>
              </w:tabs>
              <w:suppressAutoHyphens/>
              <w:spacing w:line="276" w:lineRule="auto"/>
              <w:jc w:val="both"/>
              <w:rPr>
                <w:sz w:val="20"/>
                <w:lang w:eastAsia="lt-LT"/>
              </w:rPr>
            </w:pPr>
          </w:p>
        </w:tc>
        <w:tc>
          <w:tcPr>
            <w:tcW w:w="1526" w:type="dxa"/>
            <w:tcBorders>
              <w:top w:val="single" w:sz="4" w:space="0" w:color="auto"/>
              <w:left w:val="single" w:sz="4" w:space="0" w:color="auto"/>
              <w:bottom w:val="single" w:sz="4" w:space="0" w:color="auto"/>
              <w:right w:val="single" w:sz="4" w:space="0" w:color="auto"/>
            </w:tcBorders>
          </w:tcPr>
          <w:p>
            <w:pPr>
              <w:tabs>
                <w:tab w:val="left" w:pos="-1843"/>
              </w:tabs>
              <w:suppressAutoHyphens/>
              <w:spacing w:line="276" w:lineRule="auto"/>
              <w:jc w:val="both"/>
              <w:rPr>
                <w:sz w:val="20"/>
                <w:lang w:eastAsia="lt-LT"/>
              </w:rPr>
            </w:pPr>
          </w:p>
        </w:tc>
        <w:tc>
          <w:tcPr>
            <w:tcW w:w="1026" w:type="dxa"/>
            <w:tcBorders>
              <w:top w:val="single" w:sz="4" w:space="0" w:color="auto"/>
              <w:left w:val="single" w:sz="4" w:space="0" w:color="auto"/>
              <w:bottom w:val="single" w:sz="4" w:space="0" w:color="auto"/>
              <w:right w:val="single" w:sz="4" w:space="0" w:color="auto"/>
            </w:tcBorders>
          </w:tcPr>
          <w:p>
            <w:pPr>
              <w:tabs>
                <w:tab w:val="left" w:pos="-1843"/>
              </w:tabs>
              <w:suppressAutoHyphens/>
              <w:spacing w:line="276" w:lineRule="auto"/>
              <w:jc w:val="both"/>
              <w:rPr>
                <w:sz w:val="20"/>
                <w:lang w:eastAsia="lt-LT"/>
              </w:rPr>
            </w:pPr>
            <w:r>
              <w:rPr>
                <w:sz w:val="20"/>
                <w:lang w:eastAsia="lt-LT"/>
              </w:rPr>
              <w:t>m</w:t>
            </w:r>
            <w:r>
              <w:rPr>
                <w:sz w:val="20"/>
                <w:vertAlign w:val="superscript"/>
                <w:lang w:eastAsia="lt-LT"/>
              </w:rPr>
              <w:t>2</w:t>
            </w:r>
          </w:p>
        </w:tc>
        <w:tc>
          <w:tcPr>
            <w:tcW w:w="887" w:type="dxa"/>
            <w:tcBorders>
              <w:left w:val="single" w:sz="4" w:space="0" w:color="auto"/>
              <w:right w:val="single" w:sz="4" w:space="0" w:color="auto"/>
            </w:tcBorders>
          </w:tcPr>
          <w:p>
            <w:pPr>
              <w:tabs>
                <w:tab w:val="left" w:pos="-1843"/>
              </w:tabs>
              <w:suppressAutoHyphens/>
              <w:spacing w:line="276" w:lineRule="auto"/>
              <w:jc w:val="both"/>
              <w:rPr>
                <w:sz w:val="20"/>
                <w:lang w:eastAsia="lt-LT"/>
              </w:rPr>
            </w:pPr>
          </w:p>
        </w:tc>
        <w:tc>
          <w:tcPr>
            <w:tcW w:w="530" w:type="dxa"/>
            <w:tcBorders>
              <w:left w:val="single" w:sz="4" w:space="0" w:color="auto"/>
              <w:right w:val="single" w:sz="4" w:space="0" w:color="auto"/>
            </w:tcBorders>
          </w:tcPr>
          <w:p>
            <w:pPr>
              <w:tabs>
                <w:tab w:val="left" w:pos="-1843"/>
              </w:tabs>
              <w:suppressAutoHyphens/>
              <w:spacing w:line="276" w:lineRule="auto"/>
              <w:jc w:val="both"/>
              <w:rPr>
                <w:sz w:val="20"/>
                <w:lang w:eastAsia="lt-LT"/>
              </w:rPr>
            </w:pPr>
          </w:p>
        </w:tc>
      </w:tr>
      <w:tr>
        <w:tc>
          <w:tcPr>
            <w:tcW w:w="817" w:type="dxa"/>
            <w:tcBorders>
              <w:top w:val="single" w:sz="4" w:space="0" w:color="auto"/>
              <w:left w:val="single" w:sz="4" w:space="0" w:color="auto"/>
              <w:bottom w:val="single" w:sz="4" w:space="0" w:color="auto"/>
              <w:right w:val="single" w:sz="4" w:space="0" w:color="auto"/>
            </w:tcBorders>
          </w:tcPr>
          <w:p>
            <w:pPr>
              <w:tabs>
                <w:tab w:val="left" w:pos="-1843"/>
              </w:tabs>
              <w:suppressAutoHyphens/>
              <w:spacing w:line="276" w:lineRule="auto"/>
              <w:jc w:val="both"/>
              <w:rPr>
                <w:sz w:val="20"/>
                <w:lang w:eastAsia="lt-LT"/>
              </w:rPr>
            </w:pPr>
            <w:r>
              <w:rPr>
                <w:sz w:val="20"/>
                <w:lang w:eastAsia="lt-LT"/>
              </w:rPr>
              <w:t>5.1.17</w:t>
            </w:r>
          </w:p>
        </w:tc>
        <w:tc>
          <w:tcPr>
            <w:tcW w:w="2444" w:type="dxa"/>
            <w:tcBorders>
              <w:top w:val="single" w:sz="4" w:space="0" w:color="auto"/>
              <w:left w:val="single" w:sz="4" w:space="0" w:color="auto"/>
              <w:bottom w:val="single" w:sz="4" w:space="0" w:color="auto"/>
              <w:right w:val="single" w:sz="4" w:space="0" w:color="auto"/>
            </w:tcBorders>
          </w:tcPr>
          <w:p>
            <w:pPr>
              <w:tabs>
                <w:tab w:val="left" w:pos="-1843"/>
              </w:tabs>
              <w:suppressAutoHyphens/>
              <w:spacing w:line="276" w:lineRule="auto"/>
              <w:jc w:val="both"/>
              <w:rPr>
                <w:sz w:val="20"/>
                <w:lang w:eastAsia="lt-LT"/>
              </w:rPr>
            </w:pPr>
            <w:r>
              <w:rPr>
                <w:sz w:val="20"/>
                <w:lang w:eastAsia="lt-LT"/>
              </w:rPr>
              <w:t xml:space="preserve">bendrojo naudojimo lauko durų (įėjimo, tambūro, balkonų, rūsio, konteinerinės, šilumos punkto) keitimas (įskaitant  apdailos darbus)</w:t>
            </w:r>
          </w:p>
        </w:tc>
        <w:tc>
          <w:tcPr>
            <w:tcW w:w="2409" w:type="dxa"/>
            <w:tcBorders>
              <w:top w:val="single" w:sz="4" w:space="0" w:color="auto"/>
              <w:left w:val="single" w:sz="4" w:space="0" w:color="auto"/>
              <w:bottom w:val="single" w:sz="4" w:space="0" w:color="auto"/>
              <w:right w:val="single" w:sz="4" w:space="0" w:color="auto"/>
            </w:tcBorders>
          </w:tcPr>
          <w:p>
            <w:pPr>
              <w:tabs>
                <w:tab w:val="left" w:pos="-1843"/>
              </w:tabs>
              <w:suppressAutoHyphens/>
              <w:spacing w:line="276" w:lineRule="auto"/>
              <w:jc w:val="both"/>
              <w:rPr>
                <w:sz w:val="20"/>
                <w:lang w:eastAsia="lt-LT"/>
              </w:rPr>
            </w:pPr>
          </w:p>
        </w:tc>
        <w:tc>
          <w:tcPr>
            <w:tcW w:w="1526" w:type="dxa"/>
            <w:tcBorders>
              <w:top w:val="single" w:sz="4" w:space="0" w:color="auto"/>
              <w:left w:val="single" w:sz="4" w:space="0" w:color="auto"/>
              <w:bottom w:val="single" w:sz="4" w:space="0" w:color="auto"/>
              <w:right w:val="single" w:sz="4" w:space="0" w:color="auto"/>
            </w:tcBorders>
          </w:tcPr>
          <w:p>
            <w:pPr>
              <w:tabs>
                <w:tab w:val="left" w:pos="-1843"/>
              </w:tabs>
              <w:suppressAutoHyphens/>
              <w:spacing w:line="276" w:lineRule="auto"/>
              <w:jc w:val="both"/>
              <w:rPr>
                <w:sz w:val="20"/>
                <w:lang w:eastAsia="lt-LT"/>
              </w:rPr>
            </w:pPr>
          </w:p>
        </w:tc>
        <w:tc>
          <w:tcPr>
            <w:tcW w:w="1026" w:type="dxa"/>
            <w:tcBorders>
              <w:top w:val="single" w:sz="4" w:space="0" w:color="auto"/>
              <w:left w:val="single" w:sz="4" w:space="0" w:color="auto"/>
              <w:bottom w:val="single" w:sz="4" w:space="0" w:color="auto"/>
              <w:right w:val="single" w:sz="4" w:space="0" w:color="auto"/>
            </w:tcBorders>
          </w:tcPr>
          <w:p>
            <w:pPr>
              <w:tabs>
                <w:tab w:val="left" w:pos="-1843"/>
              </w:tabs>
              <w:suppressAutoHyphens/>
              <w:spacing w:line="276" w:lineRule="auto"/>
              <w:jc w:val="both"/>
              <w:rPr>
                <w:sz w:val="20"/>
                <w:lang w:eastAsia="lt-LT"/>
              </w:rPr>
            </w:pPr>
            <w:r>
              <w:rPr>
                <w:sz w:val="20"/>
                <w:lang w:eastAsia="lt-LT"/>
              </w:rPr>
              <w:t>vnt.</w:t>
            </w:r>
          </w:p>
        </w:tc>
        <w:tc>
          <w:tcPr>
            <w:tcW w:w="887" w:type="dxa"/>
            <w:tcBorders>
              <w:left w:val="single" w:sz="4" w:space="0" w:color="auto"/>
              <w:right w:val="single" w:sz="4" w:space="0" w:color="auto"/>
            </w:tcBorders>
          </w:tcPr>
          <w:p>
            <w:pPr>
              <w:tabs>
                <w:tab w:val="left" w:pos="-1843"/>
              </w:tabs>
              <w:suppressAutoHyphens/>
              <w:spacing w:line="276" w:lineRule="auto"/>
              <w:jc w:val="both"/>
              <w:rPr>
                <w:sz w:val="20"/>
                <w:lang w:eastAsia="lt-LT"/>
              </w:rPr>
            </w:pPr>
          </w:p>
        </w:tc>
        <w:tc>
          <w:tcPr>
            <w:tcW w:w="530" w:type="dxa"/>
            <w:tcBorders>
              <w:left w:val="single" w:sz="4" w:space="0" w:color="auto"/>
              <w:right w:val="single" w:sz="4" w:space="0" w:color="auto"/>
            </w:tcBorders>
          </w:tcPr>
          <w:p>
            <w:pPr>
              <w:tabs>
                <w:tab w:val="left" w:pos="-1843"/>
              </w:tabs>
              <w:suppressAutoHyphens/>
              <w:spacing w:line="276" w:lineRule="auto"/>
              <w:jc w:val="both"/>
              <w:rPr>
                <w:sz w:val="20"/>
                <w:lang w:eastAsia="lt-LT"/>
              </w:rPr>
            </w:pPr>
          </w:p>
        </w:tc>
      </w:tr>
      <w:tr>
        <w:tc>
          <w:tcPr>
            <w:tcW w:w="817" w:type="dxa"/>
            <w:tcBorders>
              <w:top w:val="single" w:sz="4" w:space="0" w:color="auto"/>
              <w:left w:val="single" w:sz="4" w:space="0" w:color="auto"/>
              <w:bottom w:val="single" w:sz="4" w:space="0" w:color="auto"/>
              <w:right w:val="single" w:sz="4" w:space="0" w:color="auto"/>
            </w:tcBorders>
          </w:tcPr>
          <w:p>
            <w:pPr>
              <w:tabs>
                <w:tab w:val="left" w:pos="-1843"/>
              </w:tabs>
              <w:suppressAutoHyphens/>
              <w:spacing w:line="276" w:lineRule="auto"/>
              <w:jc w:val="both"/>
              <w:rPr>
                <w:sz w:val="20"/>
                <w:lang w:eastAsia="lt-LT"/>
              </w:rPr>
            </w:pPr>
            <w:r>
              <w:rPr>
                <w:sz w:val="20"/>
                <w:lang w:eastAsia="lt-LT"/>
              </w:rPr>
              <w:t>5.1.18</w:t>
            </w:r>
          </w:p>
        </w:tc>
        <w:tc>
          <w:tcPr>
            <w:tcW w:w="2444" w:type="dxa"/>
            <w:tcBorders>
              <w:top w:val="single" w:sz="4" w:space="0" w:color="auto"/>
              <w:left w:val="single" w:sz="4" w:space="0" w:color="auto"/>
              <w:bottom w:val="single" w:sz="4" w:space="0" w:color="auto"/>
              <w:right w:val="single" w:sz="4" w:space="0" w:color="auto"/>
            </w:tcBorders>
          </w:tcPr>
          <w:p>
            <w:pPr>
              <w:tabs>
                <w:tab w:val="left" w:pos="-1843"/>
              </w:tabs>
              <w:suppressAutoHyphens/>
              <w:spacing w:line="276" w:lineRule="auto"/>
              <w:jc w:val="both"/>
              <w:rPr>
                <w:sz w:val="20"/>
                <w:lang w:eastAsia="lt-LT"/>
              </w:rPr>
            </w:pPr>
            <w:r>
              <w:rPr>
                <w:sz w:val="20"/>
                <w:lang w:eastAsia="lt-LT"/>
              </w:rPr>
              <w:t>įėjimo laiptų remontas ir pritaikymas neįgaliųjų poreikiams (panduso įrengimas)</w:t>
            </w:r>
          </w:p>
        </w:tc>
        <w:tc>
          <w:tcPr>
            <w:tcW w:w="2409" w:type="dxa"/>
            <w:tcBorders>
              <w:top w:val="single" w:sz="4" w:space="0" w:color="auto"/>
              <w:left w:val="single" w:sz="4" w:space="0" w:color="auto"/>
              <w:bottom w:val="single" w:sz="4" w:space="0" w:color="auto"/>
              <w:right w:val="single" w:sz="4" w:space="0" w:color="auto"/>
            </w:tcBorders>
          </w:tcPr>
          <w:p>
            <w:pPr>
              <w:tabs>
                <w:tab w:val="left" w:pos="-1843"/>
              </w:tabs>
              <w:suppressAutoHyphens/>
              <w:spacing w:line="276" w:lineRule="auto"/>
              <w:jc w:val="both"/>
              <w:rPr>
                <w:sz w:val="20"/>
                <w:lang w:eastAsia="lt-LT"/>
              </w:rPr>
            </w:pPr>
          </w:p>
        </w:tc>
        <w:tc>
          <w:tcPr>
            <w:tcW w:w="1526" w:type="dxa"/>
            <w:tcBorders>
              <w:top w:val="single" w:sz="4" w:space="0" w:color="auto"/>
              <w:left w:val="single" w:sz="4" w:space="0" w:color="auto"/>
              <w:bottom w:val="single" w:sz="4" w:space="0" w:color="auto"/>
              <w:right w:val="single" w:sz="4" w:space="0" w:color="auto"/>
            </w:tcBorders>
          </w:tcPr>
          <w:p>
            <w:pPr>
              <w:tabs>
                <w:tab w:val="left" w:pos="-1843"/>
              </w:tabs>
              <w:suppressAutoHyphens/>
              <w:spacing w:line="276" w:lineRule="auto"/>
              <w:jc w:val="both"/>
              <w:rPr>
                <w:sz w:val="20"/>
                <w:lang w:eastAsia="lt-LT"/>
              </w:rPr>
            </w:pPr>
          </w:p>
        </w:tc>
        <w:tc>
          <w:tcPr>
            <w:tcW w:w="1026" w:type="dxa"/>
            <w:tcBorders>
              <w:top w:val="single" w:sz="4" w:space="0" w:color="auto"/>
              <w:left w:val="single" w:sz="4" w:space="0" w:color="auto"/>
              <w:bottom w:val="single" w:sz="4" w:space="0" w:color="auto"/>
              <w:right w:val="single" w:sz="4" w:space="0" w:color="auto"/>
            </w:tcBorders>
          </w:tcPr>
          <w:p>
            <w:pPr>
              <w:tabs>
                <w:tab w:val="left" w:pos="-1843"/>
              </w:tabs>
              <w:suppressAutoHyphens/>
              <w:spacing w:line="276" w:lineRule="auto"/>
              <w:jc w:val="both"/>
              <w:rPr>
                <w:sz w:val="20"/>
                <w:lang w:eastAsia="lt-LT"/>
              </w:rPr>
            </w:pPr>
            <w:r>
              <w:rPr>
                <w:sz w:val="20"/>
                <w:lang w:eastAsia="lt-LT"/>
              </w:rPr>
              <w:t>vnt.</w:t>
            </w:r>
          </w:p>
        </w:tc>
        <w:tc>
          <w:tcPr>
            <w:tcW w:w="887" w:type="dxa"/>
            <w:tcBorders>
              <w:left w:val="single" w:sz="4" w:space="0" w:color="auto"/>
              <w:right w:val="single" w:sz="4" w:space="0" w:color="auto"/>
            </w:tcBorders>
          </w:tcPr>
          <w:p>
            <w:pPr>
              <w:tabs>
                <w:tab w:val="left" w:pos="-1843"/>
              </w:tabs>
              <w:suppressAutoHyphens/>
              <w:spacing w:line="276" w:lineRule="auto"/>
              <w:jc w:val="both"/>
              <w:rPr>
                <w:sz w:val="20"/>
                <w:lang w:eastAsia="lt-LT"/>
              </w:rPr>
            </w:pPr>
          </w:p>
        </w:tc>
        <w:tc>
          <w:tcPr>
            <w:tcW w:w="530" w:type="dxa"/>
            <w:tcBorders>
              <w:left w:val="single" w:sz="4" w:space="0" w:color="auto"/>
              <w:right w:val="single" w:sz="4" w:space="0" w:color="auto"/>
            </w:tcBorders>
          </w:tcPr>
          <w:p>
            <w:pPr>
              <w:tabs>
                <w:tab w:val="left" w:pos="-1843"/>
              </w:tabs>
              <w:suppressAutoHyphens/>
              <w:spacing w:line="276" w:lineRule="auto"/>
              <w:jc w:val="both"/>
              <w:rPr>
                <w:sz w:val="20"/>
                <w:lang w:eastAsia="lt-LT"/>
              </w:rPr>
            </w:pPr>
          </w:p>
        </w:tc>
      </w:tr>
      <w:tr>
        <w:tc>
          <w:tcPr>
            <w:tcW w:w="817" w:type="dxa"/>
            <w:tcBorders>
              <w:top w:val="single" w:sz="4" w:space="0" w:color="auto"/>
              <w:left w:val="single" w:sz="4" w:space="0" w:color="auto"/>
              <w:bottom w:val="single" w:sz="4" w:space="0" w:color="auto"/>
              <w:right w:val="single" w:sz="4" w:space="0" w:color="auto"/>
            </w:tcBorders>
          </w:tcPr>
          <w:p>
            <w:pPr>
              <w:tabs>
                <w:tab w:val="left" w:pos="-1843"/>
              </w:tabs>
              <w:suppressAutoHyphens/>
              <w:spacing w:line="276" w:lineRule="auto"/>
              <w:jc w:val="both"/>
              <w:rPr>
                <w:sz w:val="20"/>
                <w:lang w:eastAsia="lt-LT"/>
              </w:rPr>
            </w:pPr>
            <w:r>
              <w:rPr>
                <w:sz w:val="20"/>
                <w:lang w:eastAsia="lt-LT"/>
              </w:rPr>
              <w:t>5.1.19</w:t>
            </w:r>
          </w:p>
        </w:tc>
        <w:tc>
          <w:tcPr>
            <w:tcW w:w="2444" w:type="dxa"/>
            <w:tcBorders>
              <w:top w:val="single" w:sz="4" w:space="0" w:color="auto"/>
              <w:left w:val="single" w:sz="4" w:space="0" w:color="auto"/>
              <w:bottom w:val="single" w:sz="4" w:space="0" w:color="auto"/>
              <w:right w:val="single" w:sz="4" w:space="0" w:color="auto"/>
            </w:tcBorders>
          </w:tcPr>
          <w:p>
            <w:pPr>
              <w:tabs>
                <w:tab w:val="left" w:pos="-1843"/>
              </w:tabs>
              <w:suppressAutoHyphens/>
              <w:spacing w:line="276" w:lineRule="auto"/>
              <w:jc w:val="both"/>
              <w:rPr>
                <w:sz w:val="20"/>
                <w:lang w:eastAsia="lt-LT"/>
              </w:rPr>
            </w:pPr>
            <w:r>
              <w:rPr>
                <w:sz w:val="20"/>
                <w:lang w:eastAsia="lt-LT"/>
              </w:rPr>
              <w:t>butų ir kitų patalpų langų ir balkonų durų keitimas mažesnio šilumos pralaidumo langais</w:t>
            </w:r>
          </w:p>
        </w:tc>
        <w:tc>
          <w:tcPr>
            <w:tcW w:w="2409" w:type="dxa"/>
            <w:tcBorders>
              <w:top w:val="single" w:sz="4" w:space="0" w:color="auto"/>
              <w:left w:val="single" w:sz="4" w:space="0" w:color="auto"/>
              <w:bottom w:val="single" w:sz="4" w:space="0" w:color="auto"/>
              <w:right w:val="single" w:sz="4" w:space="0" w:color="auto"/>
            </w:tcBorders>
          </w:tcPr>
          <w:p>
            <w:pPr>
              <w:tabs>
                <w:tab w:val="left" w:pos="-1843"/>
              </w:tabs>
              <w:suppressAutoHyphens/>
              <w:spacing w:line="276" w:lineRule="auto"/>
              <w:jc w:val="both"/>
              <w:rPr>
                <w:sz w:val="20"/>
                <w:lang w:eastAsia="lt-LT"/>
              </w:rPr>
            </w:pPr>
          </w:p>
        </w:tc>
        <w:tc>
          <w:tcPr>
            <w:tcW w:w="1526" w:type="dxa"/>
            <w:tcBorders>
              <w:top w:val="single" w:sz="4" w:space="0" w:color="auto"/>
              <w:left w:val="single" w:sz="4" w:space="0" w:color="auto"/>
              <w:bottom w:val="single" w:sz="4" w:space="0" w:color="auto"/>
              <w:right w:val="single" w:sz="4" w:space="0" w:color="auto"/>
            </w:tcBorders>
          </w:tcPr>
          <w:p>
            <w:pPr>
              <w:tabs>
                <w:tab w:val="left" w:pos="-1843"/>
              </w:tabs>
              <w:suppressAutoHyphens/>
              <w:spacing w:line="276" w:lineRule="auto"/>
              <w:jc w:val="both"/>
              <w:rPr>
                <w:sz w:val="20"/>
                <w:lang w:eastAsia="lt-LT"/>
              </w:rPr>
            </w:pPr>
          </w:p>
        </w:tc>
        <w:tc>
          <w:tcPr>
            <w:tcW w:w="1026" w:type="dxa"/>
            <w:tcBorders>
              <w:top w:val="single" w:sz="4" w:space="0" w:color="auto"/>
              <w:left w:val="single" w:sz="4" w:space="0" w:color="auto"/>
              <w:bottom w:val="single" w:sz="4" w:space="0" w:color="auto"/>
              <w:right w:val="single" w:sz="4" w:space="0" w:color="auto"/>
            </w:tcBorders>
          </w:tcPr>
          <w:p>
            <w:pPr>
              <w:tabs>
                <w:tab w:val="left" w:pos="-1843"/>
              </w:tabs>
              <w:suppressAutoHyphens/>
              <w:spacing w:line="276" w:lineRule="auto"/>
              <w:jc w:val="both"/>
              <w:rPr>
                <w:sz w:val="20"/>
                <w:lang w:eastAsia="lt-LT"/>
              </w:rPr>
            </w:pPr>
            <w:r>
              <w:rPr>
                <w:sz w:val="20"/>
                <w:lang w:eastAsia="lt-LT"/>
              </w:rPr>
              <w:t>m</w:t>
            </w:r>
            <w:r>
              <w:rPr>
                <w:sz w:val="20"/>
                <w:vertAlign w:val="superscript"/>
                <w:lang w:eastAsia="lt-LT"/>
              </w:rPr>
              <w:t>2</w:t>
            </w:r>
          </w:p>
        </w:tc>
        <w:tc>
          <w:tcPr>
            <w:tcW w:w="887" w:type="dxa"/>
            <w:tcBorders>
              <w:left w:val="single" w:sz="4" w:space="0" w:color="auto"/>
              <w:right w:val="single" w:sz="4" w:space="0" w:color="auto"/>
            </w:tcBorders>
          </w:tcPr>
          <w:p>
            <w:pPr>
              <w:tabs>
                <w:tab w:val="left" w:pos="-1843"/>
              </w:tabs>
              <w:suppressAutoHyphens/>
              <w:spacing w:line="276" w:lineRule="auto"/>
              <w:jc w:val="both"/>
              <w:rPr>
                <w:sz w:val="20"/>
                <w:lang w:eastAsia="lt-LT"/>
              </w:rPr>
            </w:pPr>
          </w:p>
        </w:tc>
        <w:tc>
          <w:tcPr>
            <w:tcW w:w="530" w:type="dxa"/>
            <w:tcBorders>
              <w:left w:val="single" w:sz="4" w:space="0" w:color="auto"/>
              <w:right w:val="single" w:sz="4" w:space="0" w:color="auto"/>
            </w:tcBorders>
          </w:tcPr>
          <w:p>
            <w:pPr>
              <w:tabs>
                <w:tab w:val="left" w:pos="-1843"/>
              </w:tabs>
              <w:suppressAutoHyphens/>
              <w:spacing w:line="276" w:lineRule="auto"/>
              <w:jc w:val="both"/>
              <w:rPr>
                <w:sz w:val="20"/>
                <w:lang w:eastAsia="lt-LT"/>
              </w:rPr>
            </w:pPr>
          </w:p>
        </w:tc>
      </w:tr>
      <w:tr>
        <w:tc>
          <w:tcPr>
            <w:tcW w:w="817" w:type="dxa"/>
            <w:tcBorders>
              <w:top w:val="single" w:sz="4" w:space="0" w:color="auto"/>
              <w:left w:val="single" w:sz="4" w:space="0" w:color="auto"/>
              <w:bottom w:val="single" w:sz="4" w:space="0" w:color="auto"/>
              <w:right w:val="single" w:sz="4" w:space="0" w:color="auto"/>
            </w:tcBorders>
          </w:tcPr>
          <w:p>
            <w:pPr>
              <w:tabs>
                <w:tab w:val="left" w:pos="-1843"/>
              </w:tabs>
              <w:suppressAutoHyphens/>
              <w:spacing w:line="276" w:lineRule="auto"/>
              <w:jc w:val="both"/>
              <w:rPr>
                <w:sz w:val="20"/>
                <w:lang w:eastAsia="lt-LT"/>
              </w:rPr>
            </w:pPr>
            <w:r>
              <w:rPr>
                <w:sz w:val="20"/>
                <w:lang w:eastAsia="lt-LT"/>
              </w:rPr>
              <w:t>5.1.20</w:t>
            </w:r>
          </w:p>
        </w:tc>
        <w:tc>
          <w:tcPr>
            <w:tcW w:w="2444" w:type="dxa"/>
            <w:tcBorders>
              <w:top w:val="single" w:sz="4" w:space="0" w:color="auto"/>
              <w:left w:val="single" w:sz="4" w:space="0" w:color="auto"/>
              <w:bottom w:val="single" w:sz="4" w:space="0" w:color="auto"/>
              <w:right w:val="single" w:sz="4" w:space="0" w:color="auto"/>
            </w:tcBorders>
          </w:tcPr>
          <w:p>
            <w:pPr>
              <w:tabs>
                <w:tab w:val="left" w:pos="-1843"/>
              </w:tabs>
              <w:suppressAutoHyphens/>
              <w:spacing w:line="276" w:lineRule="auto"/>
              <w:jc w:val="both"/>
              <w:rPr>
                <w:sz w:val="20"/>
                <w:lang w:eastAsia="lt-LT"/>
              </w:rPr>
            </w:pPr>
            <w:r>
              <w:rPr>
                <w:sz w:val="20"/>
                <w:lang w:eastAsia="lt-LT"/>
              </w:rPr>
              <w:t>rūsio perdangos šiltinimas</w:t>
            </w:r>
          </w:p>
        </w:tc>
        <w:tc>
          <w:tcPr>
            <w:tcW w:w="2409" w:type="dxa"/>
            <w:tcBorders>
              <w:top w:val="single" w:sz="4" w:space="0" w:color="auto"/>
              <w:left w:val="single" w:sz="4" w:space="0" w:color="auto"/>
              <w:bottom w:val="single" w:sz="4" w:space="0" w:color="auto"/>
              <w:right w:val="single" w:sz="4" w:space="0" w:color="auto"/>
            </w:tcBorders>
          </w:tcPr>
          <w:p>
            <w:pPr>
              <w:tabs>
                <w:tab w:val="left" w:pos="-1843"/>
              </w:tabs>
              <w:suppressAutoHyphens/>
              <w:spacing w:line="276" w:lineRule="auto"/>
              <w:jc w:val="both"/>
              <w:rPr>
                <w:sz w:val="20"/>
                <w:lang w:eastAsia="lt-LT"/>
              </w:rPr>
            </w:pPr>
          </w:p>
        </w:tc>
        <w:tc>
          <w:tcPr>
            <w:tcW w:w="1526" w:type="dxa"/>
            <w:tcBorders>
              <w:top w:val="single" w:sz="4" w:space="0" w:color="auto"/>
              <w:left w:val="single" w:sz="4" w:space="0" w:color="auto"/>
              <w:bottom w:val="single" w:sz="4" w:space="0" w:color="auto"/>
              <w:right w:val="single" w:sz="4" w:space="0" w:color="auto"/>
            </w:tcBorders>
          </w:tcPr>
          <w:p>
            <w:pPr>
              <w:tabs>
                <w:tab w:val="left" w:pos="-1843"/>
              </w:tabs>
              <w:suppressAutoHyphens/>
              <w:spacing w:line="276" w:lineRule="auto"/>
              <w:jc w:val="both"/>
              <w:rPr>
                <w:sz w:val="20"/>
                <w:lang w:eastAsia="lt-LT"/>
              </w:rPr>
            </w:pPr>
          </w:p>
        </w:tc>
        <w:tc>
          <w:tcPr>
            <w:tcW w:w="1026" w:type="dxa"/>
            <w:tcBorders>
              <w:top w:val="single" w:sz="4" w:space="0" w:color="auto"/>
              <w:left w:val="single" w:sz="4" w:space="0" w:color="auto"/>
              <w:bottom w:val="single" w:sz="4" w:space="0" w:color="auto"/>
              <w:right w:val="single" w:sz="4" w:space="0" w:color="auto"/>
            </w:tcBorders>
          </w:tcPr>
          <w:p>
            <w:pPr>
              <w:tabs>
                <w:tab w:val="left" w:pos="-1843"/>
              </w:tabs>
              <w:suppressAutoHyphens/>
              <w:spacing w:line="276" w:lineRule="auto"/>
              <w:jc w:val="both"/>
              <w:rPr>
                <w:sz w:val="20"/>
                <w:lang w:eastAsia="lt-LT"/>
              </w:rPr>
            </w:pPr>
            <w:r>
              <w:rPr>
                <w:sz w:val="20"/>
                <w:lang w:eastAsia="lt-LT"/>
              </w:rPr>
              <w:t>m</w:t>
            </w:r>
            <w:r>
              <w:rPr>
                <w:sz w:val="20"/>
                <w:vertAlign w:val="superscript"/>
                <w:lang w:eastAsia="lt-LT"/>
              </w:rPr>
              <w:t>2</w:t>
            </w:r>
          </w:p>
        </w:tc>
        <w:tc>
          <w:tcPr>
            <w:tcW w:w="887" w:type="dxa"/>
            <w:tcBorders>
              <w:left w:val="single" w:sz="4" w:space="0" w:color="auto"/>
              <w:right w:val="single" w:sz="4" w:space="0" w:color="auto"/>
            </w:tcBorders>
          </w:tcPr>
          <w:p>
            <w:pPr>
              <w:tabs>
                <w:tab w:val="left" w:pos="-1843"/>
              </w:tabs>
              <w:suppressAutoHyphens/>
              <w:spacing w:line="276" w:lineRule="auto"/>
              <w:jc w:val="both"/>
              <w:rPr>
                <w:sz w:val="20"/>
                <w:lang w:eastAsia="lt-LT"/>
              </w:rPr>
            </w:pPr>
          </w:p>
        </w:tc>
        <w:tc>
          <w:tcPr>
            <w:tcW w:w="530" w:type="dxa"/>
            <w:tcBorders>
              <w:left w:val="single" w:sz="4" w:space="0" w:color="auto"/>
              <w:right w:val="single" w:sz="4" w:space="0" w:color="auto"/>
            </w:tcBorders>
          </w:tcPr>
          <w:p>
            <w:pPr>
              <w:tabs>
                <w:tab w:val="left" w:pos="-1843"/>
              </w:tabs>
              <w:suppressAutoHyphens/>
              <w:spacing w:line="276" w:lineRule="auto"/>
              <w:jc w:val="both"/>
              <w:rPr>
                <w:sz w:val="20"/>
                <w:lang w:eastAsia="lt-LT"/>
              </w:rPr>
            </w:pPr>
          </w:p>
        </w:tc>
      </w:tr>
      <w:tr>
        <w:tc>
          <w:tcPr>
            <w:tcW w:w="817" w:type="dxa"/>
            <w:tcBorders>
              <w:top w:val="single" w:sz="4" w:space="0" w:color="auto"/>
              <w:left w:val="single" w:sz="4" w:space="0" w:color="auto"/>
              <w:bottom w:val="single" w:sz="4" w:space="0" w:color="auto"/>
              <w:right w:val="single" w:sz="4" w:space="0" w:color="auto"/>
            </w:tcBorders>
          </w:tcPr>
          <w:p>
            <w:pPr>
              <w:tabs>
                <w:tab w:val="left" w:pos="-1843"/>
              </w:tabs>
              <w:suppressAutoHyphens/>
              <w:spacing w:line="276" w:lineRule="auto"/>
              <w:jc w:val="both"/>
              <w:rPr>
                <w:sz w:val="20"/>
                <w:lang w:eastAsia="lt-LT"/>
              </w:rPr>
            </w:pPr>
            <w:r>
              <w:rPr>
                <w:sz w:val="20"/>
                <w:lang w:eastAsia="lt-LT"/>
              </w:rPr>
              <w:t>5.1.21</w:t>
            </w:r>
          </w:p>
        </w:tc>
        <w:tc>
          <w:tcPr>
            <w:tcW w:w="2444" w:type="dxa"/>
            <w:tcBorders>
              <w:top w:val="single" w:sz="4" w:space="0" w:color="auto"/>
              <w:left w:val="single" w:sz="4" w:space="0" w:color="auto"/>
              <w:bottom w:val="single" w:sz="4" w:space="0" w:color="auto"/>
              <w:right w:val="single" w:sz="4" w:space="0" w:color="auto"/>
            </w:tcBorders>
          </w:tcPr>
          <w:p>
            <w:pPr>
              <w:tabs>
                <w:tab w:val="left" w:pos="-1843"/>
              </w:tabs>
              <w:suppressAutoHyphens/>
              <w:spacing w:line="276" w:lineRule="auto"/>
              <w:jc w:val="both"/>
              <w:rPr>
                <w:sz w:val="20"/>
                <w:lang w:eastAsia="lt-LT"/>
              </w:rPr>
            </w:pPr>
            <w:r>
              <w:rPr>
                <w:sz w:val="20"/>
                <w:lang w:eastAsia="lt-LT"/>
              </w:rPr>
              <w:t>liftų</w:t>
            </w:r>
            <w:r>
              <w:rPr>
                <w:sz w:val="20"/>
                <w:lang w:val="en-US" w:eastAsia="lt-LT"/>
              </w:rPr>
              <w:t xml:space="preserve"> </w:t>
            </w:r>
            <w:r>
              <w:rPr>
                <w:sz w:val="20"/>
                <w:lang w:eastAsia="lt-LT"/>
              </w:rPr>
              <w:t>atnaujinimas (modernizavimas) – jų keitimas techniniu energiniu požiūriu efektyvesniais liftais</w:t>
            </w:r>
          </w:p>
        </w:tc>
        <w:tc>
          <w:tcPr>
            <w:tcW w:w="2409" w:type="dxa"/>
            <w:tcBorders>
              <w:top w:val="single" w:sz="4" w:space="0" w:color="auto"/>
              <w:left w:val="single" w:sz="4" w:space="0" w:color="auto"/>
              <w:bottom w:val="single" w:sz="4" w:space="0" w:color="auto"/>
              <w:right w:val="single" w:sz="4" w:space="0" w:color="auto"/>
            </w:tcBorders>
          </w:tcPr>
          <w:p>
            <w:pPr>
              <w:tabs>
                <w:tab w:val="left" w:pos="-1843"/>
              </w:tabs>
              <w:suppressAutoHyphens/>
              <w:spacing w:line="276" w:lineRule="auto"/>
              <w:jc w:val="both"/>
              <w:rPr>
                <w:sz w:val="20"/>
                <w:lang w:eastAsia="lt-LT"/>
              </w:rPr>
            </w:pPr>
          </w:p>
        </w:tc>
        <w:tc>
          <w:tcPr>
            <w:tcW w:w="1526" w:type="dxa"/>
            <w:tcBorders>
              <w:top w:val="single" w:sz="4" w:space="0" w:color="auto"/>
              <w:left w:val="single" w:sz="4" w:space="0" w:color="auto"/>
              <w:bottom w:val="single" w:sz="4" w:space="0" w:color="auto"/>
              <w:right w:val="single" w:sz="4" w:space="0" w:color="auto"/>
            </w:tcBorders>
          </w:tcPr>
          <w:p>
            <w:pPr>
              <w:tabs>
                <w:tab w:val="left" w:pos="-1843"/>
              </w:tabs>
              <w:suppressAutoHyphens/>
              <w:spacing w:line="276" w:lineRule="auto"/>
              <w:jc w:val="both"/>
              <w:rPr>
                <w:sz w:val="20"/>
                <w:lang w:eastAsia="lt-LT"/>
              </w:rPr>
            </w:pPr>
          </w:p>
        </w:tc>
        <w:tc>
          <w:tcPr>
            <w:tcW w:w="1026" w:type="dxa"/>
            <w:tcBorders>
              <w:top w:val="single" w:sz="4" w:space="0" w:color="auto"/>
              <w:left w:val="single" w:sz="4" w:space="0" w:color="auto"/>
              <w:bottom w:val="single" w:sz="4" w:space="0" w:color="auto"/>
              <w:right w:val="single" w:sz="4" w:space="0" w:color="auto"/>
            </w:tcBorders>
          </w:tcPr>
          <w:p>
            <w:pPr>
              <w:tabs>
                <w:tab w:val="left" w:pos="-1843"/>
              </w:tabs>
              <w:suppressAutoHyphens/>
              <w:spacing w:line="276" w:lineRule="auto"/>
              <w:jc w:val="both"/>
              <w:rPr>
                <w:sz w:val="20"/>
                <w:lang w:eastAsia="lt-LT"/>
              </w:rPr>
            </w:pPr>
            <w:r>
              <w:rPr>
                <w:sz w:val="20"/>
                <w:lang w:eastAsia="lt-LT"/>
              </w:rPr>
              <w:t>vnt.</w:t>
            </w:r>
          </w:p>
        </w:tc>
        <w:tc>
          <w:tcPr>
            <w:tcW w:w="887" w:type="dxa"/>
            <w:tcBorders>
              <w:left w:val="single" w:sz="4" w:space="0" w:color="auto"/>
              <w:right w:val="single" w:sz="4" w:space="0" w:color="auto"/>
            </w:tcBorders>
          </w:tcPr>
          <w:p>
            <w:pPr>
              <w:tabs>
                <w:tab w:val="left" w:pos="-1843"/>
              </w:tabs>
              <w:suppressAutoHyphens/>
              <w:spacing w:line="276" w:lineRule="auto"/>
              <w:jc w:val="both"/>
              <w:rPr>
                <w:sz w:val="20"/>
                <w:lang w:eastAsia="lt-LT"/>
              </w:rPr>
            </w:pPr>
          </w:p>
        </w:tc>
        <w:tc>
          <w:tcPr>
            <w:tcW w:w="530" w:type="dxa"/>
            <w:tcBorders>
              <w:left w:val="single" w:sz="4" w:space="0" w:color="auto"/>
              <w:right w:val="single" w:sz="4" w:space="0" w:color="auto"/>
            </w:tcBorders>
          </w:tcPr>
          <w:p>
            <w:pPr>
              <w:tabs>
                <w:tab w:val="left" w:pos="-1843"/>
              </w:tabs>
              <w:suppressAutoHyphens/>
              <w:spacing w:line="276" w:lineRule="auto"/>
              <w:jc w:val="both"/>
              <w:rPr>
                <w:sz w:val="20"/>
                <w:lang w:eastAsia="lt-LT"/>
              </w:rPr>
            </w:pPr>
          </w:p>
        </w:tc>
      </w:tr>
      <w:tr>
        <w:tc>
          <w:tcPr>
            <w:tcW w:w="817" w:type="dxa"/>
            <w:tcBorders>
              <w:top w:val="single" w:sz="4" w:space="0" w:color="auto"/>
              <w:left w:val="single" w:sz="4" w:space="0" w:color="auto"/>
              <w:bottom w:val="single" w:sz="4" w:space="0" w:color="auto"/>
              <w:right w:val="single" w:sz="4" w:space="0" w:color="auto"/>
            </w:tcBorders>
          </w:tcPr>
          <w:p>
            <w:pPr>
              <w:tabs>
                <w:tab w:val="left" w:pos="-1843"/>
              </w:tabs>
              <w:suppressAutoHyphens/>
              <w:spacing w:line="276" w:lineRule="auto"/>
              <w:jc w:val="both"/>
              <w:rPr>
                <w:sz w:val="20"/>
                <w:lang w:eastAsia="lt-LT"/>
              </w:rPr>
            </w:pPr>
            <w:r>
              <w:rPr>
                <w:sz w:val="20"/>
                <w:lang w:eastAsia="lt-LT"/>
              </w:rPr>
              <w:t>5.1.22</w:t>
            </w:r>
          </w:p>
        </w:tc>
        <w:tc>
          <w:tcPr>
            <w:tcW w:w="2444" w:type="dxa"/>
            <w:tcBorders>
              <w:top w:val="single" w:sz="4" w:space="0" w:color="auto"/>
              <w:left w:val="single" w:sz="4" w:space="0" w:color="auto"/>
              <w:bottom w:val="single" w:sz="4" w:space="0" w:color="auto"/>
              <w:right w:val="single" w:sz="4" w:space="0" w:color="auto"/>
            </w:tcBorders>
          </w:tcPr>
          <w:p>
            <w:pPr>
              <w:tabs>
                <w:tab w:val="left" w:pos="-1843"/>
              </w:tabs>
              <w:suppressAutoHyphens/>
              <w:spacing w:line="276" w:lineRule="auto"/>
              <w:jc w:val="both"/>
              <w:rPr>
                <w:sz w:val="20"/>
                <w:lang w:eastAsia="lt-LT"/>
              </w:rPr>
            </w:pPr>
            <w:r>
              <w:rPr>
                <w:sz w:val="20"/>
                <w:lang w:eastAsia="lt-LT"/>
              </w:rPr>
              <w:t xml:space="preserve">bendrojo naudojimo elektros inžinerinės sistemos, apšvietimo sistemos atnaujinimas  (elektros kabelių keitimas, šviesos diodų (LED) apšvietimo ir automatinės apšvietimo valdymo sistemos įrengimas)</w:t>
            </w:r>
          </w:p>
        </w:tc>
        <w:tc>
          <w:tcPr>
            <w:tcW w:w="2409" w:type="dxa"/>
            <w:tcBorders>
              <w:top w:val="single" w:sz="4" w:space="0" w:color="auto"/>
              <w:left w:val="single" w:sz="4" w:space="0" w:color="auto"/>
              <w:bottom w:val="single" w:sz="4" w:space="0" w:color="auto"/>
              <w:right w:val="single" w:sz="4" w:space="0" w:color="auto"/>
            </w:tcBorders>
          </w:tcPr>
          <w:p>
            <w:pPr>
              <w:tabs>
                <w:tab w:val="left" w:pos="-1843"/>
              </w:tabs>
              <w:suppressAutoHyphens/>
              <w:spacing w:line="276" w:lineRule="auto"/>
              <w:jc w:val="both"/>
              <w:rPr>
                <w:sz w:val="20"/>
                <w:lang w:eastAsia="lt-LT"/>
              </w:rPr>
            </w:pPr>
          </w:p>
        </w:tc>
        <w:tc>
          <w:tcPr>
            <w:tcW w:w="1526" w:type="dxa"/>
            <w:tcBorders>
              <w:top w:val="single" w:sz="4" w:space="0" w:color="auto"/>
              <w:left w:val="single" w:sz="4" w:space="0" w:color="auto"/>
              <w:bottom w:val="single" w:sz="4" w:space="0" w:color="auto"/>
              <w:right w:val="single" w:sz="4" w:space="0" w:color="auto"/>
            </w:tcBorders>
          </w:tcPr>
          <w:p>
            <w:pPr>
              <w:tabs>
                <w:tab w:val="left" w:pos="-1843"/>
              </w:tabs>
              <w:suppressAutoHyphens/>
              <w:spacing w:line="276" w:lineRule="auto"/>
              <w:jc w:val="both"/>
              <w:rPr>
                <w:sz w:val="20"/>
                <w:lang w:eastAsia="lt-LT"/>
              </w:rPr>
            </w:pPr>
          </w:p>
        </w:tc>
        <w:tc>
          <w:tcPr>
            <w:tcW w:w="1026" w:type="dxa"/>
            <w:tcBorders>
              <w:top w:val="single" w:sz="4" w:space="0" w:color="auto"/>
              <w:left w:val="single" w:sz="4" w:space="0" w:color="auto"/>
              <w:bottom w:val="single" w:sz="4" w:space="0" w:color="auto"/>
              <w:right w:val="single" w:sz="4" w:space="0" w:color="auto"/>
            </w:tcBorders>
          </w:tcPr>
          <w:p>
            <w:pPr>
              <w:tabs>
                <w:tab w:val="left" w:pos="-1843"/>
              </w:tabs>
              <w:suppressAutoHyphens/>
              <w:spacing w:line="276" w:lineRule="auto"/>
              <w:jc w:val="both"/>
              <w:rPr>
                <w:sz w:val="20"/>
                <w:lang w:eastAsia="lt-LT"/>
              </w:rPr>
            </w:pPr>
            <w:r>
              <w:rPr>
                <w:sz w:val="20"/>
                <w:lang w:eastAsia="lt-LT"/>
              </w:rPr>
              <w:t>kompl.</w:t>
            </w:r>
          </w:p>
        </w:tc>
        <w:tc>
          <w:tcPr>
            <w:tcW w:w="887" w:type="dxa"/>
            <w:tcBorders>
              <w:left w:val="single" w:sz="4" w:space="0" w:color="auto"/>
              <w:right w:val="single" w:sz="4" w:space="0" w:color="auto"/>
            </w:tcBorders>
          </w:tcPr>
          <w:p>
            <w:pPr>
              <w:tabs>
                <w:tab w:val="left" w:pos="-1843"/>
              </w:tabs>
              <w:suppressAutoHyphens/>
              <w:spacing w:line="276" w:lineRule="auto"/>
              <w:jc w:val="both"/>
              <w:rPr>
                <w:sz w:val="20"/>
                <w:lang w:eastAsia="lt-LT"/>
              </w:rPr>
            </w:pPr>
          </w:p>
        </w:tc>
        <w:tc>
          <w:tcPr>
            <w:tcW w:w="530" w:type="dxa"/>
            <w:tcBorders>
              <w:left w:val="single" w:sz="4" w:space="0" w:color="auto"/>
              <w:right w:val="single" w:sz="4" w:space="0" w:color="auto"/>
            </w:tcBorders>
          </w:tcPr>
          <w:p>
            <w:pPr>
              <w:tabs>
                <w:tab w:val="left" w:pos="-1843"/>
              </w:tabs>
              <w:suppressAutoHyphens/>
              <w:spacing w:line="276" w:lineRule="auto"/>
              <w:jc w:val="both"/>
              <w:rPr>
                <w:sz w:val="20"/>
                <w:lang w:eastAsia="lt-LT"/>
              </w:rPr>
            </w:pPr>
          </w:p>
        </w:tc>
      </w:tr>
      <w:tr>
        <w:tc>
          <w:tcPr>
            <w:tcW w:w="817" w:type="dxa"/>
            <w:tcBorders>
              <w:top w:val="single" w:sz="4" w:space="0" w:color="auto"/>
              <w:left w:val="single" w:sz="4" w:space="0" w:color="auto"/>
              <w:bottom w:val="single" w:sz="4" w:space="0" w:color="auto"/>
              <w:right w:val="single" w:sz="4" w:space="0" w:color="auto"/>
            </w:tcBorders>
          </w:tcPr>
          <w:p>
            <w:pPr>
              <w:tabs>
                <w:tab w:val="left" w:pos="-1843"/>
              </w:tabs>
              <w:suppressAutoHyphens/>
              <w:spacing w:line="276" w:lineRule="auto"/>
              <w:jc w:val="both"/>
              <w:rPr>
                <w:sz w:val="20"/>
                <w:lang w:eastAsia="lt-LT"/>
              </w:rPr>
            </w:pPr>
          </w:p>
        </w:tc>
        <w:tc>
          <w:tcPr>
            <w:tcW w:w="2444" w:type="dxa"/>
            <w:tcBorders>
              <w:top w:val="single" w:sz="4" w:space="0" w:color="auto"/>
              <w:left w:val="single" w:sz="4" w:space="0" w:color="auto"/>
              <w:bottom w:val="single" w:sz="4" w:space="0" w:color="auto"/>
              <w:right w:val="single" w:sz="4" w:space="0" w:color="auto"/>
            </w:tcBorders>
          </w:tcPr>
          <w:p>
            <w:pPr>
              <w:tabs>
                <w:tab w:val="left" w:pos="-1843"/>
              </w:tabs>
              <w:suppressAutoHyphens/>
              <w:spacing w:line="276" w:lineRule="auto"/>
              <w:jc w:val="both"/>
              <w:rPr>
                <w:sz w:val="20"/>
                <w:lang w:eastAsia="lt-LT"/>
              </w:rPr>
            </w:pPr>
            <w:r>
              <w:rPr>
                <w:sz w:val="20"/>
                <w:lang w:eastAsia="lt-LT"/>
              </w:rPr>
              <w:t>Iš viso (Eur be PVM)</w:t>
            </w:r>
          </w:p>
        </w:tc>
        <w:tc>
          <w:tcPr>
            <w:tcW w:w="2409" w:type="dxa"/>
            <w:tcBorders>
              <w:top w:val="single" w:sz="4" w:space="0" w:color="auto"/>
              <w:left w:val="single" w:sz="4" w:space="0" w:color="auto"/>
              <w:bottom w:val="single" w:sz="4" w:space="0" w:color="auto"/>
              <w:right w:val="single" w:sz="4" w:space="0" w:color="auto"/>
            </w:tcBorders>
          </w:tcPr>
          <w:p>
            <w:pPr>
              <w:tabs>
                <w:tab w:val="left" w:pos="-1843"/>
              </w:tabs>
              <w:suppressAutoHyphens/>
              <w:spacing w:line="276" w:lineRule="auto"/>
              <w:jc w:val="both"/>
              <w:rPr>
                <w:sz w:val="20"/>
                <w:lang w:eastAsia="lt-LT"/>
              </w:rPr>
            </w:pPr>
          </w:p>
        </w:tc>
        <w:tc>
          <w:tcPr>
            <w:tcW w:w="1526" w:type="dxa"/>
            <w:tcBorders>
              <w:top w:val="single" w:sz="4" w:space="0" w:color="auto"/>
              <w:left w:val="single" w:sz="4" w:space="0" w:color="auto"/>
              <w:bottom w:val="single" w:sz="4" w:space="0" w:color="auto"/>
              <w:right w:val="single" w:sz="4" w:space="0" w:color="auto"/>
            </w:tcBorders>
          </w:tcPr>
          <w:p>
            <w:pPr>
              <w:tabs>
                <w:tab w:val="left" w:pos="-1843"/>
              </w:tabs>
              <w:suppressAutoHyphens/>
              <w:spacing w:line="276" w:lineRule="auto"/>
              <w:jc w:val="both"/>
              <w:rPr>
                <w:sz w:val="20"/>
                <w:lang w:eastAsia="lt-LT"/>
              </w:rPr>
            </w:pPr>
          </w:p>
        </w:tc>
        <w:tc>
          <w:tcPr>
            <w:tcW w:w="1026" w:type="dxa"/>
            <w:tcBorders>
              <w:top w:val="single" w:sz="4" w:space="0" w:color="auto"/>
              <w:left w:val="single" w:sz="4" w:space="0" w:color="auto"/>
              <w:bottom w:val="single" w:sz="4" w:space="0" w:color="auto"/>
              <w:right w:val="single" w:sz="4" w:space="0" w:color="auto"/>
            </w:tcBorders>
          </w:tcPr>
          <w:p>
            <w:pPr>
              <w:tabs>
                <w:tab w:val="left" w:pos="-1843"/>
              </w:tabs>
              <w:suppressAutoHyphens/>
              <w:spacing w:line="276" w:lineRule="auto"/>
              <w:jc w:val="both"/>
              <w:rPr>
                <w:sz w:val="20"/>
                <w:lang w:eastAsia="lt-LT"/>
              </w:rPr>
            </w:pPr>
          </w:p>
        </w:tc>
        <w:tc>
          <w:tcPr>
            <w:tcW w:w="887" w:type="dxa"/>
            <w:tcBorders>
              <w:left w:val="single" w:sz="4" w:space="0" w:color="auto"/>
              <w:right w:val="single" w:sz="4" w:space="0" w:color="auto"/>
            </w:tcBorders>
          </w:tcPr>
          <w:p>
            <w:pPr>
              <w:tabs>
                <w:tab w:val="left" w:pos="-1843"/>
              </w:tabs>
              <w:suppressAutoHyphens/>
              <w:spacing w:line="276" w:lineRule="auto"/>
              <w:jc w:val="both"/>
              <w:rPr>
                <w:sz w:val="20"/>
                <w:lang w:eastAsia="lt-LT"/>
              </w:rPr>
            </w:pPr>
          </w:p>
        </w:tc>
        <w:tc>
          <w:tcPr>
            <w:tcW w:w="530" w:type="dxa"/>
            <w:tcBorders>
              <w:left w:val="single" w:sz="4" w:space="0" w:color="auto"/>
              <w:right w:val="single" w:sz="4" w:space="0" w:color="auto"/>
            </w:tcBorders>
          </w:tcPr>
          <w:p>
            <w:pPr>
              <w:tabs>
                <w:tab w:val="left" w:pos="-1843"/>
              </w:tabs>
              <w:suppressAutoHyphens/>
              <w:spacing w:line="276" w:lineRule="auto"/>
              <w:jc w:val="both"/>
              <w:rPr>
                <w:sz w:val="20"/>
                <w:lang w:eastAsia="lt-LT"/>
              </w:rPr>
            </w:pPr>
          </w:p>
        </w:tc>
      </w:tr>
      <w:tr>
        <w:tc>
          <w:tcPr>
            <w:tcW w:w="817" w:type="dxa"/>
            <w:tcBorders>
              <w:top w:val="single" w:sz="4" w:space="0" w:color="auto"/>
              <w:left w:val="single" w:sz="4" w:space="0" w:color="auto"/>
              <w:bottom w:val="single" w:sz="4" w:space="0" w:color="auto"/>
              <w:right w:val="single" w:sz="4" w:space="0" w:color="auto"/>
            </w:tcBorders>
          </w:tcPr>
          <w:p>
            <w:pPr>
              <w:tabs>
                <w:tab w:val="left" w:pos="-1843"/>
              </w:tabs>
              <w:suppressAutoHyphens/>
              <w:spacing w:line="276" w:lineRule="auto"/>
              <w:jc w:val="both"/>
              <w:rPr>
                <w:sz w:val="20"/>
                <w:lang w:eastAsia="lt-LT"/>
              </w:rPr>
            </w:pPr>
          </w:p>
        </w:tc>
        <w:tc>
          <w:tcPr>
            <w:tcW w:w="2444" w:type="dxa"/>
            <w:tcBorders>
              <w:top w:val="single" w:sz="4" w:space="0" w:color="auto"/>
              <w:left w:val="single" w:sz="4" w:space="0" w:color="auto"/>
              <w:bottom w:val="single" w:sz="4" w:space="0" w:color="auto"/>
              <w:right w:val="single" w:sz="4" w:space="0" w:color="auto"/>
            </w:tcBorders>
          </w:tcPr>
          <w:p>
            <w:pPr>
              <w:tabs>
                <w:tab w:val="left" w:pos="-1843"/>
              </w:tabs>
              <w:suppressAutoHyphens/>
              <w:spacing w:line="276" w:lineRule="auto"/>
              <w:jc w:val="both"/>
              <w:rPr>
                <w:sz w:val="20"/>
                <w:lang w:eastAsia="lt-LT"/>
              </w:rPr>
            </w:pPr>
            <w:r>
              <w:rPr>
                <w:sz w:val="20"/>
                <w:lang w:eastAsia="lt-LT"/>
              </w:rPr>
              <w:t>PVM</w:t>
            </w:r>
          </w:p>
        </w:tc>
        <w:tc>
          <w:tcPr>
            <w:tcW w:w="2409" w:type="dxa"/>
            <w:tcBorders>
              <w:top w:val="single" w:sz="4" w:space="0" w:color="auto"/>
              <w:left w:val="single" w:sz="4" w:space="0" w:color="auto"/>
              <w:bottom w:val="single" w:sz="4" w:space="0" w:color="auto"/>
              <w:right w:val="single" w:sz="4" w:space="0" w:color="auto"/>
            </w:tcBorders>
          </w:tcPr>
          <w:p>
            <w:pPr>
              <w:tabs>
                <w:tab w:val="left" w:pos="-1843"/>
              </w:tabs>
              <w:suppressAutoHyphens/>
              <w:spacing w:line="276" w:lineRule="auto"/>
              <w:jc w:val="both"/>
              <w:rPr>
                <w:sz w:val="20"/>
                <w:lang w:eastAsia="lt-LT"/>
              </w:rPr>
            </w:pPr>
          </w:p>
        </w:tc>
        <w:tc>
          <w:tcPr>
            <w:tcW w:w="1526" w:type="dxa"/>
            <w:tcBorders>
              <w:top w:val="single" w:sz="4" w:space="0" w:color="auto"/>
              <w:left w:val="single" w:sz="4" w:space="0" w:color="auto"/>
              <w:bottom w:val="single" w:sz="4" w:space="0" w:color="auto"/>
              <w:right w:val="single" w:sz="4" w:space="0" w:color="auto"/>
            </w:tcBorders>
          </w:tcPr>
          <w:p>
            <w:pPr>
              <w:tabs>
                <w:tab w:val="left" w:pos="-1843"/>
              </w:tabs>
              <w:suppressAutoHyphens/>
              <w:spacing w:line="276" w:lineRule="auto"/>
              <w:jc w:val="both"/>
              <w:rPr>
                <w:sz w:val="20"/>
                <w:lang w:eastAsia="lt-LT"/>
              </w:rPr>
            </w:pPr>
          </w:p>
        </w:tc>
        <w:tc>
          <w:tcPr>
            <w:tcW w:w="1026" w:type="dxa"/>
            <w:tcBorders>
              <w:top w:val="single" w:sz="4" w:space="0" w:color="auto"/>
              <w:left w:val="single" w:sz="4" w:space="0" w:color="auto"/>
              <w:bottom w:val="single" w:sz="4" w:space="0" w:color="auto"/>
              <w:right w:val="single" w:sz="4" w:space="0" w:color="auto"/>
            </w:tcBorders>
          </w:tcPr>
          <w:p>
            <w:pPr>
              <w:tabs>
                <w:tab w:val="left" w:pos="-1843"/>
              </w:tabs>
              <w:suppressAutoHyphens/>
              <w:spacing w:line="276" w:lineRule="auto"/>
              <w:jc w:val="both"/>
              <w:rPr>
                <w:sz w:val="20"/>
                <w:lang w:eastAsia="lt-LT"/>
              </w:rPr>
            </w:pPr>
          </w:p>
        </w:tc>
        <w:tc>
          <w:tcPr>
            <w:tcW w:w="887" w:type="dxa"/>
            <w:tcBorders>
              <w:left w:val="single" w:sz="4" w:space="0" w:color="auto"/>
              <w:right w:val="single" w:sz="4" w:space="0" w:color="auto"/>
            </w:tcBorders>
          </w:tcPr>
          <w:p>
            <w:pPr>
              <w:tabs>
                <w:tab w:val="left" w:pos="-1843"/>
              </w:tabs>
              <w:suppressAutoHyphens/>
              <w:spacing w:line="276" w:lineRule="auto"/>
              <w:jc w:val="both"/>
              <w:rPr>
                <w:sz w:val="20"/>
                <w:lang w:eastAsia="lt-LT"/>
              </w:rPr>
            </w:pPr>
          </w:p>
        </w:tc>
        <w:tc>
          <w:tcPr>
            <w:tcW w:w="530" w:type="dxa"/>
            <w:tcBorders>
              <w:left w:val="single" w:sz="4" w:space="0" w:color="auto"/>
              <w:right w:val="single" w:sz="4" w:space="0" w:color="auto"/>
            </w:tcBorders>
          </w:tcPr>
          <w:p>
            <w:pPr>
              <w:tabs>
                <w:tab w:val="left" w:pos="-1843"/>
              </w:tabs>
              <w:suppressAutoHyphens/>
              <w:spacing w:line="276" w:lineRule="auto"/>
              <w:jc w:val="both"/>
              <w:rPr>
                <w:sz w:val="20"/>
                <w:lang w:eastAsia="lt-LT"/>
              </w:rPr>
            </w:pPr>
          </w:p>
        </w:tc>
      </w:tr>
      <w:tr>
        <w:tc>
          <w:tcPr>
            <w:tcW w:w="817" w:type="dxa"/>
            <w:tcBorders>
              <w:top w:val="single" w:sz="4" w:space="0" w:color="auto"/>
              <w:left w:val="single" w:sz="4" w:space="0" w:color="auto"/>
              <w:bottom w:val="single" w:sz="4" w:space="0" w:color="auto"/>
              <w:right w:val="single" w:sz="4" w:space="0" w:color="auto"/>
            </w:tcBorders>
          </w:tcPr>
          <w:p>
            <w:pPr>
              <w:tabs>
                <w:tab w:val="left" w:pos="-1843"/>
              </w:tabs>
              <w:suppressAutoHyphens/>
              <w:spacing w:line="276" w:lineRule="auto"/>
              <w:jc w:val="both"/>
              <w:rPr>
                <w:sz w:val="20"/>
                <w:lang w:eastAsia="lt-LT"/>
              </w:rPr>
            </w:pPr>
          </w:p>
        </w:tc>
        <w:tc>
          <w:tcPr>
            <w:tcW w:w="2444" w:type="dxa"/>
            <w:tcBorders>
              <w:top w:val="single" w:sz="4" w:space="0" w:color="auto"/>
              <w:left w:val="single" w:sz="4" w:space="0" w:color="auto"/>
              <w:bottom w:val="single" w:sz="4" w:space="0" w:color="auto"/>
              <w:right w:val="single" w:sz="4" w:space="0" w:color="auto"/>
            </w:tcBorders>
          </w:tcPr>
          <w:p>
            <w:pPr>
              <w:tabs>
                <w:tab w:val="left" w:pos="-1843"/>
              </w:tabs>
              <w:suppressAutoHyphens/>
              <w:spacing w:line="276" w:lineRule="auto"/>
              <w:jc w:val="both"/>
              <w:rPr>
                <w:sz w:val="20"/>
                <w:lang w:eastAsia="lt-LT"/>
              </w:rPr>
            </w:pPr>
            <w:r>
              <w:rPr>
                <w:sz w:val="20"/>
                <w:lang w:eastAsia="lt-LT"/>
              </w:rPr>
              <w:t>Iš viso (Eur su PVM)</w:t>
            </w:r>
          </w:p>
        </w:tc>
        <w:tc>
          <w:tcPr>
            <w:tcW w:w="2409" w:type="dxa"/>
            <w:tcBorders>
              <w:top w:val="single" w:sz="4" w:space="0" w:color="auto"/>
              <w:left w:val="single" w:sz="4" w:space="0" w:color="auto"/>
              <w:bottom w:val="single" w:sz="4" w:space="0" w:color="auto"/>
              <w:right w:val="single" w:sz="4" w:space="0" w:color="auto"/>
            </w:tcBorders>
          </w:tcPr>
          <w:p>
            <w:pPr>
              <w:tabs>
                <w:tab w:val="left" w:pos="-1843"/>
              </w:tabs>
              <w:suppressAutoHyphens/>
              <w:spacing w:line="276" w:lineRule="auto"/>
              <w:jc w:val="both"/>
              <w:rPr>
                <w:sz w:val="20"/>
                <w:lang w:eastAsia="lt-LT"/>
              </w:rPr>
            </w:pPr>
          </w:p>
        </w:tc>
        <w:tc>
          <w:tcPr>
            <w:tcW w:w="1526" w:type="dxa"/>
            <w:tcBorders>
              <w:top w:val="single" w:sz="4" w:space="0" w:color="auto"/>
              <w:left w:val="single" w:sz="4" w:space="0" w:color="auto"/>
              <w:bottom w:val="single" w:sz="4" w:space="0" w:color="auto"/>
              <w:right w:val="single" w:sz="4" w:space="0" w:color="auto"/>
            </w:tcBorders>
          </w:tcPr>
          <w:p>
            <w:pPr>
              <w:tabs>
                <w:tab w:val="left" w:pos="-1843"/>
              </w:tabs>
              <w:suppressAutoHyphens/>
              <w:spacing w:line="276" w:lineRule="auto"/>
              <w:jc w:val="both"/>
              <w:rPr>
                <w:sz w:val="20"/>
                <w:lang w:eastAsia="lt-LT"/>
              </w:rPr>
            </w:pPr>
          </w:p>
        </w:tc>
        <w:tc>
          <w:tcPr>
            <w:tcW w:w="1026" w:type="dxa"/>
            <w:tcBorders>
              <w:top w:val="single" w:sz="4" w:space="0" w:color="auto"/>
              <w:left w:val="single" w:sz="4" w:space="0" w:color="auto"/>
              <w:bottom w:val="single" w:sz="4" w:space="0" w:color="auto"/>
              <w:right w:val="single" w:sz="4" w:space="0" w:color="auto"/>
            </w:tcBorders>
          </w:tcPr>
          <w:p>
            <w:pPr>
              <w:tabs>
                <w:tab w:val="left" w:pos="-1843"/>
              </w:tabs>
              <w:suppressAutoHyphens/>
              <w:spacing w:line="276" w:lineRule="auto"/>
              <w:jc w:val="both"/>
              <w:rPr>
                <w:sz w:val="20"/>
                <w:lang w:eastAsia="lt-LT"/>
              </w:rPr>
            </w:pPr>
          </w:p>
        </w:tc>
        <w:tc>
          <w:tcPr>
            <w:tcW w:w="887" w:type="dxa"/>
            <w:tcBorders>
              <w:left w:val="single" w:sz="4" w:space="0" w:color="auto"/>
              <w:right w:val="single" w:sz="4" w:space="0" w:color="auto"/>
            </w:tcBorders>
          </w:tcPr>
          <w:p>
            <w:pPr>
              <w:tabs>
                <w:tab w:val="left" w:pos="-1843"/>
              </w:tabs>
              <w:suppressAutoHyphens/>
              <w:spacing w:line="276" w:lineRule="auto"/>
              <w:jc w:val="both"/>
              <w:rPr>
                <w:sz w:val="20"/>
                <w:lang w:eastAsia="lt-LT"/>
              </w:rPr>
            </w:pPr>
          </w:p>
        </w:tc>
        <w:tc>
          <w:tcPr>
            <w:tcW w:w="530" w:type="dxa"/>
            <w:tcBorders>
              <w:left w:val="single" w:sz="4" w:space="0" w:color="auto"/>
              <w:right w:val="single" w:sz="4" w:space="0" w:color="auto"/>
            </w:tcBorders>
          </w:tcPr>
          <w:p>
            <w:pPr>
              <w:tabs>
                <w:tab w:val="left" w:pos="-1843"/>
              </w:tabs>
              <w:suppressAutoHyphens/>
              <w:spacing w:line="276" w:lineRule="auto"/>
              <w:jc w:val="both"/>
              <w:rPr>
                <w:sz w:val="20"/>
                <w:lang w:eastAsia="lt-LT"/>
              </w:rPr>
            </w:pPr>
          </w:p>
        </w:tc>
      </w:tr>
      <w:tr>
        <w:tc>
          <w:tcPr>
            <w:tcW w:w="817" w:type="dxa"/>
            <w:tcBorders>
              <w:top w:val="single" w:sz="4" w:space="0" w:color="auto"/>
              <w:left w:val="single" w:sz="4" w:space="0" w:color="auto"/>
              <w:bottom w:val="single" w:sz="4" w:space="0" w:color="auto"/>
              <w:right w:val="single" w:sz="4" w:space="0" w:color="auto"/>
            </w:tcBorders>
            <w:hideMark/>
          </w:tcPr>
          <w:p>
            <w:pPr>
              <w:tabs>
                <w:tab w:val="left" w:pos="-1843"/>
              </w:tabs>
              <w:suppressAutoHyphens/>
              <w:spacing w:line="276" w:lineRule="auto"/>
              <w:jc w:val="both"/>
              <w:rPr>
                <w:sz w:val="20"/>
                <w:lang w:eastAsia="lt-LT"/>
              </w:rPr>
            </w:pPr>
            <w:r>
              <w:rPr>
                <w:sz w:val="20"/>
                <w:lang w:eastAsia="lt-LT"/>
              </w:rPr>
              <w:t>5.2</w:t>
            </w:r>
          </w:p>
        </w:tc>
        <w:tc>
          <w:tcPr>
            <w:tcW w:w="2444" w:type="dxa"/>
            <w:tcBorders>
              <w:top w:val="single" w:sz="4" w:space="0" w:color="auto"/>
              <w:left w:val="single" w:sz="4" w:space="0" w:color="auto"/>
              <w:bottom w:val="single" w:sz="4" w:space="0" w:color="auto"/>
              <w:right w:val="single" w:sz="4" w:space="0" w:color="auto"/>
            </w:tcBorders>
            <w:hideMark/>
          </w:tcPr>
          <w:p>
            <w:pPr>
              <w:tabs>
                <w:tab w:val="left" w:pos="-1843"/>
              </w:tabs>
              <w:suppressAutoHyphens/>
              <w:spacing w:line="276" w:lineRule="auto"/>
              <w:jc w:val="both"/>
              <w:rPr>
                <w:sz w:val="20"/>
                <w:lang w:eastAsia="lt-LT"/>
              </w:rPr>
            </w:pPr>
            <w:r>
              <w:rPr>
                <w:sz w:val="20"/>
                <w:lang w:eastAsia="lt-LT"/>
              </w:rPr>
              <w:t>kitos priemonės</w:t>
            </w:r>
          </w:p>
        </w:tc>
        <w:tc>
          <w:tcPr>
            <w:tcW w:w="2409" w:type="dxa"/>
            <w:tcBorders>
              <w:top w:val="single" w:sz="4" w:space="0" w:color="auto"/>
              <w:left w:val="single" w:sz="4" w:space="0" w:color="auto"/>
              <w:bottom w:val="single" w:sz="4" w:space="0" w:color="auto"/>
              <w:right w:val="single" w:sz="4" w:space="0" w:color="auto"/>
            </w:tcBorders>
          </w:tcPr>
          <w:p>
            <w:pPr>
              <w:tabs>
                <w:tab w:val="left" w:pos="-1843"/>
              </w:tabs>
              <w:suppressAutoHyphens/>
              <w:spacing w:line="276" w:lineRule="auto"/>
              <w:jc w:val="both"/>
              <w:rPr>
                <w:sz w:val="20"/>
                <w:lang w:eastAsia="lt-LT"/>
              </w:rPr>
            </w:pPr>
          </w:p>
        </w:tc>
        <w:tc>
          <w:tcPr>
            <w:tcW w:w="1526" w:type="dxa"/>
            <w:tcBorders>
              <w:top w:val="single" w:sz="4" w:space="0" w:color="auto"/>
              <w:left w:val="single" w:sz="4" w:space="0" w:color="auto"/>
              <w:bottom w:val="single" w:sz="4" w:space="0" w:color="auto"/>
              <w:right w:val="single" w:sz="4" w:space="0" w:color="auto"/>
            </w:tcBorders>
          </w:tcPr>
          <w:p>
            <w:pPr>
              <w:tabs>
                <w:tab w:val="left" w:pos="-1843"/>
              </w:tabs>
              <w:suppressAutoHyphens/>
              <w:spacing w:line="276" w:lineRule="auto"/>
              <w:jc w:val="both"/>
              <w:rPr>
                <w:sz w:val="20"/>
                <w:lang w:eastAsia="lt-LT"/>
              </w:rPr>
            </w:pPr>
          </w:p>
        </w:tc>
        <w:tc>
          <w:tcPr>
            <w:tcW w:w="1026" w:type="dxa"/>
            <w:tcBorders>
              <w:top w:val="single" w:sz="4" w:space="0" w:color="auto"/>
              <w:left w:val="single" w:sz="4" w:space="0" w:color="auto"/>
              <w:bottom w:val="single" w:sz="4" w:space="0" w:color="auto"/>
              <w:right w:val="single" w:sz="4" w:space="0" w:color="auto"/>
            </w:tcBorders>
          </w:tcPr>
          <w:p>
            <w:pPr>
              <w:tabs>
                <w:tab w:val="left" w:pos="-1843"/>
              </w:tabs>
              <w:suppressAutoHyphens/>
              <w:spacing w:line="276" w:lineRule="auto"/>
              <w:jc w:val="both"/>
              <w:rPr>
                <w:sz w:val="20"/>
                <w:lang w:eastAsia="lt-LT"/>
              </w:rPr>
            </w:pPr>
          </w:p>
        </w:tc>
        <w:tc>
          <w:tcPr>
            <w:tcW w:w="887" w:type="dxa"/>
            <w:tcBorders>
              <w:left w:val="single" w:sz="4" w:space="0" w:color="auto"/>
              <w:right w:val="single" w:sz="4" w:space="0" w:color="auto"/>
            </w:tcBorders>
          </w:tcPr>
          <w:p>
            <w:pPr>
              <w:tabs>
                <w:tab w:val="left" w:pos="-1843"/>
              </w:tabs>
              <w:suppressAutoHyphens/>
              <w:spacing w:line="276" w:lineRule="auto"/>
              <w:jc w:val="both"/>
              <w:rPr>
                <w:sz w:val="20"/>
                <w:lang w:eastAsia="lt-LT"/>
              </w:rPr>
            </w:pPr>
          </w:p>
        </w:tc>
        <w:tc>
          <w:tcPr>
            <w:tcW w:w="530" w:type="dxa"/>
            <w:tcBorders>
              <w:left w:val="single" w:sz="4" w:space="0" w:color="auto"/>
              <w:right w:val="single" w:sz="4" w:space="0" w:color="auto"/>
            </w:tcBorders>
          </w:tcPr>
          <w:p>
            <w:pPr>
              <w:tabs>
                <w:tab w:val="left" w:pos="-1843"/>
              </w:tabs>
              <w:suppressAutoHyphens/>
              <w:spacing w:line="276" w:lineRule="auto"/>
              <w:jc w:val="both"/>
              <w:rPr>
                <w:sz w:val="20"/>
                <w:lang w:eastAsia="lt-LT"/>
              </w:rPr>
            </w:pPr>
          </w:p>
        </w:tc>
      </w:tr>
      <w:tr>
        <w:tc>
          <w:tcPr>
            <w:tcW w:w="817" w:type="dxa"/>
            <w:tcBorders>
              <w:top w:val="single" w:sz="4" w:space="0" w:color="auto"/>
              <w:left w:val="single" w:sz="4" w:space="0" w:color="auto"/>
              <w:bottom w:val="single" w:sz="4" w:space="0" w:color="auto"/>
              <w:right w:val="single" w:sz="4" w:space="0" w:color="auto"/>
            </w:tcBorders>
            <w:hideMark/>
          </w:tcPr>
          <w:p>
            <w:pPr>
              <w:tabs>
                <w:tab w:val="left" w:pos="-1843"/>
              </w:tabs>
              <w:suppressAutoHyphens/>
              <w:spacing w:line="276" w:lineRule="auto"/>
              <w:jc w:val="both"/>
              <w:rPr>
                <w:sz w:val="20"/>
                <w:lang w:eastAsia="lt-LT"/>
              </w:rPr>
            </w:pPr>
            <w:r>
              <w:rPr>
                <w:sz w:val="20"/>
                <w:lang w:eastAsia="lt-LT"/>
              </w:rPr>
              <w:t>5.2.1.</w:t>
            </w:r>
          </w:p>
        </w:tc>
        <w:tc>
          <w:tcPr>
            <w:tcW w:w="2444" w:type="dxa"/>
            <w:tcBorders>
              <w:top w:val="single" w:sz="4" w:space="0" w:color="auto"/>
              <w:left w:val="single" w:sz="4" w:space="0" w:color="auto"/>
              <w:bottom w:val="single" w:sz="4" w:space="0" w:color="auto"/>
              <w:right w:val="single" w:sz="4" w:space="0" w:color="auto"/>
            </w:tcBorders>
          </w:tcPr>
          <w:p>
            <w:pPr>
              <w:tabs>
                <w:tab w:val="left" w:pos="-1843"/>
              </w:tabs>
              <w:suppressAutoHyphens/>
              <w:spacing w:line="276" w:lineRule="auto"/>
              <w:jc w:val="both"/>
              <w:rPr>
                <w:sz w:val="20"/>
                <w:lang w:eastAsia="lt-LT"/>
              </w:rPr>
            </w:pPr>
            <w:r>
              <w:rPr>
                <w:sz w:val="20"/>
                <w:lang w:eastAsia="lt-LT"/>
              </w:rPr>
              <w:t>priešgaisrinės saugos sistemos atnaujinimas ar keitimas</w:t>
            </w:r>
          </w:p>
        </w:tc>
        <w:tc>
          <w:tcPr>
            <w:tcW w:w="2409" w:type="dxa"/>
            <w:tcBorders>
              <w:top w:val="single" w:sz="4" w:space="0" w:color="auto"/>
              <w:left w:val="single" w:sz="4" w:space="0" w:color="auto"/>
              <w:bottom w:val="single" w:sz="4" w:space="0" w:color="auto"/>
              <w:right w:val="single" w:sz="4" w:space="0" w:color="auto"/>
            </w:tcBorders>
          </w:tcPr>
          <w:p>
            <w:pPr>
              <w:tabs>
                <w:tab w:val="left" w:pos="-1843"/>
              </w:tabs>
              <w:suppressAutoHyphens/>
              <w:spacing w:line="276" w:lineRule="auto"/>
              <w:jc w:val="both"/>
              <w:rPr>
                <w:sz w:val="20"/>
                <w:lang w:eastAsia="lt-LT"/>
              </w:rPr>
            </w:pPr>
          </w:p>
        </w:tc>
        <w:tc>
          <w:tcPr>
            <w:tcW w:w="1526" w:type="dxa"/>
            <w:tcBorders>
              <w:top w:val="single" w:sz="4" w:space="0" w:color="auto"/>
              <w:left w:val="single" w:sz="4" w:space="0" w:color="auto"/>
              <w:bottom w:val="single" w:sz="4" w:space="0" w:color="auto"/>
              <w:right w:val="single" w:sz="4" w:space="0" w:color="auto"/>
            </w:tcBorders>
          </w:tcPr>
          <w:p>
            <w:pPr>
              <w:tabs>
                <w:tab w:val="left" w:pos="-1843"/>
              </w:tabs>
              <w:suppressAutoHyphens/>
              <w:spacing w:line="276" w:lineRule="auto"/>
              <w:jc w:val="both"/>
              <w:rPr>
                <w:sz w:val="20"/>
                <w:lang w:eastAsia="lt-LT"/>
              </w:rPr>
            </w:pPr>
          </w:p>
        </w:tc>
        <w:tc>
          <w:tcPr>
            <w:tcW w:w="1026" w:type="dxa"/>
            <w:tcBorders>
              <w:top w:val="single" w:sz="4" w:space="0" w:color="auto"/>
              <w:left w:val="single" w:sz="4" w:space="0" w:color="auto"/>
              <w:bottom w:val="single" w:sz="4" w:space="0" w:color="auto"/>
              <w:right w:val="single" w:sz="4" w:space="0" w:color="auto"/>
            </w:tcBorders>
          </w:tcPr>
          <w:p>
            <w:pPr>
              <w:tabs>
                <w:tab w:val="left" w:pos="-1843"/>
              </w:tabs>
              <w:suppressAutoHyphens/>
              <w:spacing w:line="276" w:lineRule="auto"/>
              <w:jc w:val="both"/>
              <w:rPr>
                <w:sz w:val="20"/>
                <w:lang w:eastAsia="lt-LT"/>
              </w:rPr>
            </w:pPr>
            <w:r>
              <w:rPr>
                <w:sz w:val="20"/>
                <w:lang w:eastAsia="lt-LT"/>
              </w:rPr>
              <w:t>kompl.</w:t>
            </w:r>
          </w:p>
        </w:tc>
        <w:tc>
          <w:tcPr>
            <w:tcW w:w="887" w:type="dxa"/>
            <w:tcBorders>
              <w:left w:val="single" w:sz="4" w:space="0" w:color="auto"/>
              <w:right w:val="single" w:sz="4" w:space="0" w:color="auto"/>
            </w:tcBorders>
          </w:tcPr>
          <w:p>
            <w:pPr>
              <w:tabs>
                <w:tab w:val="left" w:pos="-1843"/>
              </w:tabs>
              <w:suppressAutoHyphens/>
              <w:spacing w:line="276" w:lineRule="auto"/>
              <w:jc w:val="both"/>
              <w:rPr>
                <w:sz w:val="20"/>
                <w:lang w:eastAsia="lt-LT"/>
              </w:rPr>
            </w:pPr>
          </w:p>
        </w:tc>
        <w:tc>
          <w:tcPr>
            <w:tcW w:w="530" w:type="dxa"/>
            <w:tcBorders>
              <w:left w:val="single" w:sz="4" w:space="0" w:color="auto"/>
              <w:right w:val="single" w:sz="4" w:space="0" w:color="auto"/>
            </w:tcBorders>
          </w:tcPr>
          <w:p>
            <w:pPr>
              <w:tabs>
                <w:tab w:val="left" w:pos="-1843"/>
              </w:tabs>
              <w:suppressAutoHyphens/>
              <w:spacing w:line="276" w:lineRule="auto"/>
              <w:jc w:val="both"/>
              <w:rPr>
                <w:sz w:val="20"/>
                <w:lang w:eastAsia="lt-LT"/>
              </w:rPr>
            </w:pPr>
          </w:p>
        </w:tc>
      </w:tr>
      <w:tr>
        <w:tc>
          <w:tcPr>
            <w:tcW w:w="817" w:type="dxa"/>
            <w:tcBorders>
              <w:top w:val="single" w:sz="4" w:space="0" w:color="auto"/>
              <w:left w:val="single" w:sz="4" w:space="0" w:color="auto"/>
              <w:bottom w:val="single" w:sz="4" w:space="0" w:color="auto"/>
              <w:right w:val="single" w:sz="4" w:space="0" w:color="auto"/>
            </w:tcBorders>
            <w:hideMark/>
          </w:tcPr>
          <w:p>
            <w:pPr>
              <w:tabs>
                <w:tab w:val="left" w:pos="-1843"/>
              </w:tabs>
              <w:suppressAutoHyphens/>
              <w:spacing w:line="276" w:lineRule="auto"/>
              <w:jc w:val="both"/>
              <w:rPr>
                <w:sz w:val="20"/>
                <w:lang w:eastAsia="lt-LT"/>
              </w:rPr>
            </w:pPr>
            <w:r>
              <w:rPr>
                <w:sz w:val="20"/>
                <w:lang w:eastAsia="lt-LT"/>
              </w:rPr>
              <w:t xml:space="preserve">5.2.2                                 </w:t>
            </w:r>
          </w:p>
        </w:tc>
        <w:tc>
          <w:tcPr>
            <w:tcW w:w="2444" w:type="dxa"/>
            <w:tcBorders>
              <w:top w:val="single" w:sz="4" w:space="0" w:color="auto"/>
              <w:left w:val="single" w:sz="4" w:space="0" w:color="auto"/>
              <w:bottom w:val="single" w:sz="4" w:space="0" w:color="auto"/>
              <w:right w:val="single" w:sz="4" w:space="0" w:color="auto"/>
            </w:tcBorders>
          </w:tcPr>
          <w:p>
            <w:pPr>
              <w:tabs>
                <w:tab w:val="left" w:pos="-1843"/>
              </w:tabs>
              <w:suppressAutoHyphens/>
              <w:spacing w:line="276" w:lineRule="auto"/>
              <w:jc w:val="both"/>
              <w:rPr>
                <w:sz w:val="20"/>
                <w:lang w:eastAsia="lt-LT"/>
              </w:rPr>
            </w:pPr>
            <w:r>
              <w:rPr>
                <w:sz w:val="20"/>
                <w:lang w:eastAsia="lt-LT"/>
              </w:rPr>
              <w:t>geriamojo vandens sistemos atnaujinimas ar keitimas</w:t>
            </w:r>
          </w:p>
        </w:tc>
        <w:tc>
          <w:tcPr>
            <w:tcW w:w="2409" w:type="dxa"/>
            <w:tcBorders>
              <w:top w:val="single" w:sz="4" w:space="0" w:color="auto"/>
              <w:left w:val="single" w:sz="4" w:space="0" w:color="auto"/>
              <w:bottom w:val="single" w:sz="4" w:space="0" w:color="auto"/>
              <w:right w:val="single" w:sz="4" w:space="0" w:color="auto"/>
            </w:tcBorders>
          </w:tcPr>
          <w:p>
            <w:pPr>
              <w:tabs>
                <w:tab w:val="left" w:pos="-1843"/>
              </w:tabs>
              <w:suppressAutoHyphens/>
              <w:spacing w:line="276" w:lineRule="auto"/>
              <w:jc w:val="both"/>
              <w:rPr>
                <w:sz w:val="20"/>
                <w:lang w:eastAsia="lt-LT"/>
              </w:rPr>
            </w:pPr>
          </w:p>
        </w:tc>
        <w:tc>
          <w:tcPr>
            <w:tcW w:w="1526" w:type="dxa"/>
            <w:tcBorders>
              <w:top w:val="single" w:sz="4" w:space="0" w:color="auto"/>
              <w:left w:val="single" w:sz="4" w:space="0" w:color="auto"/>
              <w:bottom w:val="single" w:sz="4" w:space="0" w:color="auto"/>
              <w:right w:val="single" w:sz="4" w:space="0" w:color="auto"/>
            </w:tcBorders>
          </w:tcPr>
          <w:p>
            <w:pPr>
              <w:tabs>
                <w:tab w:val="left" w:pos="-1843"/>
              </w:tabs>
              <w:suppressAutoHyphens/>
              <w:spacing w:line="276" w:lineRule="auto"/>
              <w:jc w:val="both"/>
              <w:rPr>
                <w:sz w:val="20"/>
                <w:lang w:eastAsia="lt-LT"/>
              </w:rPr>
            </w:pPr>
          </w:p>
        </w:tc>
        <w:tc>
          <w:tcPr>
            <w:tcW w:w="1026" w:type="dxa"/>
            <w:tcBorders>
              <w:top w:val="single" w:sz="4" w:space="0" w:color="auto"/>
              <w:left w:val="single" w:sz="4" w:space="0" w:color="auto"/>
              <w:bottom w:val="single" w:sz="4" w:space="0" w:color="auto"/>
              <w:right w:val="single" w:sz="4" w:space="0" w:color="auto"/>
            </w:tcBorders>
          </w:tcPr>
          <w:p>
            <w:pPr>
              <w:tabs>
                <w:tab w:val="left" w:pos="-1843"/>
              </w:tabs>
              <w:suppressAutoHyphens/>
              <w:spacing w:line="276" w:lineRule="auto"/>
              <w:jc w:val="both"/>
              <w:rPr>
                <w:sz w:val="20"/>
                <w:lang w:eastAsia="lt-LT"/>
              </w:rPr>
            </w:pPr>
            <w:r>
              <w:rPr>
                <w:sz w:val="20"/>
                <w:lang w:eastAsia="lt-LT"/>
              </w:rPr>
              <w:t>kompl.</w:t>
            </w:r>
          </w:p>
        </w:tc>
        <w:tc>
          <w:tcPr>
            <w:tcW w:w="887" w:type="dxa"/>
            <w:tcBorders>
              <w:left w:val="single" w:sz="4" w:space="0" w:color="auto"/>
              <w:right w:val="single" w:sz="4" w:space="0" w:color="auto"/>
            </w:tcBorders>
          </w:tcPr>
          <w:p>
            <w:pPr>
              <w:tabs>
                <w:tab w:val="left" w:pos="-1843"/>
              </w:tabs>
              <w:suppressAutoHyphens/>
              <w:spacing w:line="276" w:lineRule="auto"/>
              <w:jc w:val="both"/>
              <w:rPr>
                <w:sz w:val="20"/>
                <w:lang w:eastAsia="lt-LT"/>
              </w:rPr>
            </w:pPr>
          </w:p>
        </w:tc>
        <w:tc>
          <w:tcPr>
            <w:tcW w:w="530" w:type="dxa"/>
            <w:tcBorders>
              <w:left w:val="single" w:sz="4" w:space="0" w:color="auto"/>
              <w:right w:val="single" w:sz="4" w:space="0" w:color="auto"/>
            </w:tcBorders>
          </w:tcPr>
          <w:p>
            <w:pPr>
              <w:tabs>
                <w:tab w:val="left" w:pos="-1843"/>
              </w:tabs>
              <w:suppressAutoHyphens/>
              <w:spacing w:line="276" w:lineRule="auto"/>
              <w:jc w:val="both"/>
              <w:rPr>
                <w:sz w:val="20"/>
                <w:lang w:eastAsia="lt-LT"/>
              </w:rPr>
            </w:pPr>
          </w:p>
        </w:tc>
      </w:tr>
      <w:tr>
        <w:tc>
          <w:tcPr>
            <w:tcW w:w="817" w:type="dxa"/>
            <w:tcBorders>
              <w:top w:val="single" w:sz="4" w:space="0" w:color="auto"/>
              <w:left w:val="single" w:sz="4" w:space="0" w:color="auto"/>
              <w:bottom w:val="single" w:sz="4" w:space="0" w:color="auto"/>
              <w:right w:val="single" w:sz="4" w:space="0" w:color="auto"/>
            </w:tcBorders>
            <w:hideMark/>
          </w:tcPr>
          <w:p>
            <w:pPr>
              <w:tabs>
                <w:tab w:val="left" w:pos="-1843"/>
              </w:tabs>
              <w:suppressAutoHyphens/>
              <w:spacing w:line="276" w:lineRule="auto"/>
              <w:jc w:val="both"/>
              <w:rPr>
                <w:sz w:val="20"/>
                <w:lang w:eastAsia="lt-LT"/>
              </w:rPr>
            </w:pPr>
            <w:r>
              <w:rPr>
                <w:sz w:val="20"/>
                <w:lang w:eastAsia="lt-LT"/>
              </w:rPr>
              <w:t>5.2.3</w:t>
            </w:r>
          </w:p>
        </w:tc>
        <w:tc>
          <w:tcPr>
            <w:tcW w:w="2444" w:type="dxa"/>
            <w:tcBorders>
              <w:top w:val="single" w:sz="4" w:space="0" w:color="auto"/>
              <w:left w:val="single" w:sz="4" w:space="0" w:color="auto"/>
              <w:bottom w:val="single" w:sz="4" w:space="0" w:color="auto"/>
              <w:right w:val="single" w:sz="4" w:space="0" w:color="auto"/>
            </w:tcBorders>
          </w:tcPr>
          <w:p>
            <w:pPr>
              <w:tabs>
                <w:tab w:val="left" w:pos="-1843"/>
              </w:tabs>
              <w:suppressAutoHyphens/>
              <w:spacing w:line="276" w:lineRule="auto"/>
              <w:jc w:val="both"/>
              <w:rPr>
                <w:sz w:val="20"/>
                <w:lang w:eastAsia="lt-LT"/>
              </w:rPr>
            </w:pPr>
            <w:r>
              <w:rPr>
                <w:sz w:val="20"/>
                <w:lang w:eastAsia="lt-LT"/>
              </w:rPr>
              <w:t>buitinių nuotekų sistemos atnaujinimas ar keitimas</w:t>
            </w:r>
          </w:p>
        </w:tc>
        <w:tc>
          <w:tcPr>
            <w:tcW w:w="2409" w:type="dxa"/>
            <w:tcBorders>
              <w:top w:val="single" w:sz="4" w:space="0" w:color="auto"/>
              <w:left w:val="single" w:sz="4" w:space="0" w:color="auto"/>
              <w:bottom w:val="single" w:sz="4" w:space="0" w:color="auto"/>
              <w:right w:val="single" w:sz="4" w:space="0" w:color="auto"/>
            </w:tcBorders>
          </w:tcPr>
          <w:p>
            <w:pPr>
              <w:tabs>
                <w:tab w:val="left" w:pos="-1843"/>
              </w:tabs>
              <w:suppressAutoHyphens/>
              <w:spacing w:line="276" w:lineRule="auto"/>
              <w:jc w:val="both"/>
              <w:rPr>
                <w:sz w:val="20"/>
                <w:lang w:eastAsia="lt-LT"/>
              </w:rPr>
            </w:pPr>
          </w:p>
        </w:tc>
        <w:tc>
          <w:tcPr>
            <w:tcW w:w="1526" w:type="dxa"/>
            <w:tcBorders>
              <w:top w:val="single" w:sz="4" w:space="0" w:color="auto"/>
              <w:left w:val="single" w:sz="4" w:space="0" w:color="auto"/>
              <w:bottom w:val="single" w:sz="4" w:space="0" w:color="auto"/>
              <w:right w:val="single" w:sz="4" w:space="0" w:color="auto"/>
            </w:tcBorders>
          </w:tcPr>
          <w:p>
            <w:pPr>
              <w:tabs>
                <w:tab w:val="left" w:pos="-1843"/>
              </w:tabs>
              <w:suppressAutoHyphens/>
              <w:spacing w:line="276" w:lineRule="auto"/>
              <w:jc w:val="both"/>
              <w:rPr>
                <w:sz w:val="20"/>
                <w:lang w:eastAsia="lt-LT"/>
              </w:rPr>
            </w:pPr>
          </w:p>
        </w:tc>
        <w:tc>
          <w:tcPr>
            <w:tcW w:w="1026" w:type="dxa"/>
            <w:tcBorders>
              <w:top w:val="single" w:sz="4" w:space="0" w:color="auto"/>
              <w:left w:val="single" w:sz="4" w:space="0" w:color="auto"/>
              <w:bottom w:val="single" w:sz="4" w:space="0" w:color="auto"/>
              <w:right w:val="single" w:sz="4" w:space="0" w:color="auto"/>
            </w:tcBorders>
          </w:tcPr>
          <w:p>
            <w:pPr>
              <w:tabs>
                <w:tab w:val="left" w:pos="-1843"/>
              </w:tabs>
              <w:suppressAutoHyphens/>
              <w:spacing w:line="276" w:lineRule="auto"/>
              <w:jc w:val="both"/>
              <w:rPr>
                <w:sz w:val="20"/>
                <w:lang w:eastAsia="lt-LT"/>
              </w:rPr>
            </w:pPr>
            <w:r>
              <w:rPr>
                <w:sz w:val="20"/>
                <w:lang w:eastAsia="lt-LT"/>
              </w:rPr>
              <w:t>kompl.</w:t>
            </w:r>
          </w:p>
        </w:tc>
        <w:tc>
          <w:tcPr>
            <w:tcW w:w="887" w:type="dxa"/>
            <w:tcBorders>
              <w:left w:val="single" w:sz="4" w:space="0" w:color="auto"/>
              <w:right w:val="single" w:sz="4" w:space="0" w:color="auto"/>
            </w:tcBorders>
          </w:tcPr>
          <w:p>
            <w:pPr>
              <w:tabs>
                <w:tab w:val="left" w:pos="-1843"/>
              </w:tabs>
              <w:suppressAutoHyphens/>
              <w:spacing w:line="276" w:lineRule="auto"/>
              <w:jc w:val="both"/>
              <w:rPr>
                <w:sz w:val="20"/>
                <w:lang w:eastAsia="lt-LT"/>
              </w:rPr>
            </w:pPr>
          </w:p>
        </w:tc>
        <w:tc>
          <w:tcPr>
            <w:tcW w:w="530" w:type="dxa"/>
            <w:tcBorders>
              <w:left w:val="single" w:sz="4" w:space="0" w:color="auto"/>
              <w:right w:val="single" w:sz="4" w:space="0" w:color="auto"/>
            </w:tcBorders>
          </w:tcPr>
          <w:p>
            <w:pPr>
              <w:tabs>
                <w:tab w:val="left" w:pos="-1843"/>
              </w:tabs>
              <w:suppressAutoHyphens/>
              <w:spacing w:line="276" w:lineRule="auto"/>
              <w:jc w:val="both"/>
              <w:rPr>
                <w:sz w:val="20"/>
                <w:lang w:eastAsia="lt-LT"/>
              </w:rPr>
            </w:pPr>
          </w:p>
        </w:tc>
      </w:tr>
      <w:tr>
        <w:tc>
          <w:tcPr>
            <w:tcW w:w="817" w:type="dxa"/>
            <w:tcBorders>
              <w:top w:val="single" w:sz="4" w:space="0" w:color="auto"/>
              <w:left w:val="single" w:sz="4" w:space="0" w:color="auto"/>
              <w:bottom w:val="single" w:sz="4" w:space="0" w:color="auto"/>
              <w:right w:val="single" w:sz="4" w:space="0" w:color="auto"/>
            </w:tcBorders>
          </w:tcPr>
          <w:p>
            <w:pPr>
              <w:tabs>
                <w:tab w:val="left" w:pos="-1843"/>
              </w:tabs>
              <w:suppressAutoHyphens/>
              <w:spacing w:line="276" w:lineRule="auto"/>
              <w:jc w:val="both"/>
              <w:rPr>
                <w:sz w:val="20"/>
                <w:lang w:eastAsia="lt-LT"/>
              </w:rPr>
            </w:pPr>
            <w:r>
              <w:rPr>
                <w:sz w:val="20"/>
                <w:lang w:eastAsia="lt-LT"/>
              </w:rPr>
              <w:t>5.2.4</w:t>
            </w:r>
          </w:p>
        </w:tc>
        <w:tc>
          <w:tcPr>
            <w:tcW w:w="2444" w:type="dxa"/>
            <w:tcBorders>
              <w:top w:val="single" w:sz="4" w:space="0" w:color="auto"/>
              <w:left w:val="single" w:sz="4" w:space="0" w:color="auto"/>
              <w:bottom w:val="single" w:sz="4" w:space="0" w:color="auto"/>
              <w:right w:val="single" w:sz="4" w:space="0" w:color="auto"/>
            </w:tcBorders>
          </w:tcPr>
          <w:p>
            <w:pPr>
              <w:tabs>
                <w:tab w:val="left" w:pos="-1843"/>
              </w:tabs>
              <w:suppressAutoHyphens/>
              <w:spacing w:line="276" w:lineRule="auto"/>
              <w:jc w:val="both"/>
              <w:rPr>
                <w:sz w:val="20"/>
                <w:lang w:eastAsia="lt-LT"/>
              </w:rPr>
            </w:pPr>
            <w:r>
              <w:rPr>
                <w:sz w:val="20"/>
                <w:lang w:eastAsia="lt-LT"/>
              </w:rPr>
              <w:t>lietaus nuotekų sistemos atnaujinimas ar keitimas</w:t>
            </w:r>
          </w:p>
        </w:tc>
        <w:tc>
          <w:tcPr>
            <w:tcW w:w="2409" w:type="dxa"/>
            <w:tcBorders>
              <w:top w:val="single" w:sz="4" w:space="0" w:color="auto"/>
              <w:left w:val="single" w:sz="4" w:space="0" w:color="auto"/>
              <w:bottom w:val="single" w:sz="4" w:space="0" w:color="auto"/>
              <w:right w:val="single" w:sz="4" w:space="0" w:color="auto"/>
            </w:tcBorders>
          </w:tcPr>
          <w:p>
            <w:pPr>
              <w:tabs>
                <w:tab w:val="left" w:pos="-1843"/>
              </w:tabs>
              <w:suppressAutoHyphens/>
              <w:spacing w:line="276" w:lineRule="auto"/>
              <w:jc w:val="both"/>
              <w:rPr>
                <w:sz w:val="20"/>
                <w:lang w:eastAsia="lt-LT"/>
              </w:rPr>
            </w:pPr>
          </w:p>
        </w:tc>
        <w:tc>
          <w:tcPr>
            <w:tcW w:w="1526" w:type="dxa"/>
            <w:tcBorders>
              <w:top w:val="single" w:sz="4" w:space="0" w:color="auto"/>
              <w:left w:val="single" w:sz="4" w:space="0" w:color="auto"/>
              <w:bottom w:val="single" w:sz="4" w:space="0" w:color="auto"/>
              <w:right w:val="single" w:sz="4" w:space="0" w:color="auto"/>
            </w:tcBorders>
          </w:tcPr>
          <w:p>
            <w:pPr>
              <w:tabs>
                <w:tab w:val="left" w:pos="-1843"/>
              </w:tabs>
              <w:suppressAutoHyphens/>
              <w:spacing w:line="276" w:lineRule="auto"/>
              <w:jc w:val="both"/>
              <w:rPr>
                <w:sz w:val="20"/>
                <w:lang w:eastAsia="lt-LT"/>
              </w:rPr>
            </w:pPr>
          </w:p>
        </w:tc>
        <w:tc>
          <w:tcPr>
            <w:tcW w:w="1026" w:type="dxa"/>
            <w:tcBorders>
              <w:top w:val="single" w:sz="4" w:space="0" w:color="auto"/>
              <w:left w:val="single" w:sz="4" w:space="0" w:color="auto"/>
              <w:bottom w:val="single" w:sz="4" w:space="0" w:color="auto"/>
              <w:right w:val="single" w:sz="4" w:space="0" w:color="auto"/>
            </w:tcBorders>
          </w:tcPr>
          <w:p>
            <w:pPr>
              <w:tabs>
                <w:tab w:val="left" w:pos="-1843"/>
              </w:tabs>
              <w:suppressAutoHyphens/>
              <w:spacing w:line="276" w:lineRule="auto"/>
              <w:jc w:val="both"/>
              <w:rPr>
                <w:sz w:val="20"/>
                <w:lang w:eastAsia="lt-LT"/>
              </w:rPr>
            </w:pPr>
            <w:r>
              <w:rPr>
                <w:sz w:val="20"/>
                <w:lang w:eastAsia="lt-LT"/>
              </w:rPr>
              <w:t>kompl.</w:t>
            </w:r>
          </w:p>
        </w:tc>
        <w:tc>
          <w:tcPr>
            <w:tcW w:w="887" w:type="dxa"/>
            <w:tcBorders>
              <w:left w:val="single" w:sz="4" w:space="0" w:color="auto"/>
              <w:right w:val="single" w:sz="4" w:space="0" w:color="auto"/>
            </w:tcBorders>
          </w:tcPr>
          <w:p>
            <w:pPr>
              <w:tabs>
                <w:tab w:val="left" w:pos="-1843"/>
              </w:tabs>
              <w:suppressAutoHyphens/>
              <w:spacing w:line="276" w:lineRule="auto"/>
              <w:jc w:val="both"/>
              <w:rPr>
                <w:sz w:val="20"/>
                <w:lang w:eastAsia="lt-LT"/>
              </w:rPr>
            </w:pPr>
          </w:p>
        </w:tc>
        <w:tc>
          <w:tcPr>
            <w:tcW w:w="530" w:type="dxa"/>
            <w:tcBorders>
              <w:left w:val="single" w:sz="4" w:space="0" w:color="auto"/>
              <w:right w:val="single" w:sz="4" w:space="0" w:color="auto"/>
            </w:tcBorders>
          </w:tcPr>
          <w:p>
            <w:pPr>
              <w:tabs>
                <w:tab w:val="left" w:pos="-1843"/>
              </w:tabs>
              <w:suppressAutoHyphens/>
              <w:spacing w:line="276" w:lineRule="auto"/>
              <w:jc w:val="both"/>
              <w:rPr>
                <w:sz w:val="20"/>
                <w:lang w:eastAsia="lt-LT"/>
              </w:rPr>
            </w:pPr>
          </w:p>
        </w:tc>
      </w:tr>
      <w:tr>
        <w:tc>
          <w:tcPr>
            <w:tcW w:w="817" w:type="dxa"/>
            <w:tcBorders>
              <w:top w:val="single" w:sz="4" w:space="0" w:color="auto"/>
              <w:left w:val="single" w:sz="4" w:space="0" w:color="auto"/>
              <w:bottom w:val="single" w:sz="4" w:space="0" w:color="auto"/>
              <w:right w:val="single" w:sz="4" w:space="0" w:color="auto"/>
            </w:tcBorders>
          </w:tcPr>
          <w:p>
            <w:pPr>
              <w:tabs>
                <w:tab w:val="left" w:pos="-1843"/>
              </w:tabs>
              <w:suppressAutoHyphens/>
              <w:spacing w:line="276" w:lineRule="auto"/>
              <w:jc w:val="both"/>
              <w:rPr>
                <w:sz w:val="20"/>
                <w:lang w:eastAsia="lt-LT"/>
              </w:rPr>
            </w:pPr>
            <w:r>
              <w:rPr>
                <w:sz w:val="20"/>
                <w:lang w:eastAsia="lt-LT"/>
              </w:rPr>
              <w:t>5.2.5</w:t>
            </w:r>
          </w:p>
        </w:tc>
        <w:tc>
          <w:tcPr>
            <w:tcW w:w="2444" w:type="dxa"/>
            <w:tcBorders>
              <w:top w:val="single" w:sz="4" w:space="0" w:color="auto"/>
              <w:left w:val="single" w:sz="4" w:space="0" w:color="auto"/>
              <w:bottom w:val="single" w:sz="4" w:space="0" w:color="auto"/>
              <w:right w:val="single" w:sz="4" w:space="0" w:color="auto"/>
            </w:tcBorders>
          </w:tcPr>
          <w:p>
            <w:pPr>
              <w:tabs>
                <w:tab w:val="left" w:pos="-1843"/>
              </w:tabs>
              <w:suppressAutoHyphens/>
              <w:spacing w:line="276" w:lineRule="auto"/>
              <w:jc w:val="both"/>
              <w:rPr>
                <w:sz w:val="20"/>
                <w:lang w:eastAsia="lt-LT"/>
              </w:rPr>
            </w:pPr>
            <w:r>
              <w:rPr>
                <w:sz w:val="20"/>
                <w:lang w:eastAsia="lt-LT"/>
              </w:rPr>
              <w:t>drenažo sistemos atnaujinimas ar keitimas</w:t>
            </w:r>
          </w:p>
        </w:tc>
        <w:tc>
          <w:tcPr>
            <w:tcW w:w="2409" w:type="dxa"/>
            <w:tcBorders>
              <w:top w:val="single" w:sz="4" w:space="0" w:color="auto"/>
              <w:left w:val="single" w:sz="4" w:space="0" w:color="auto"/>
              <w:bottom w:val="single" w:sz="4" w:space="0" w:color="auto"/>
              <w:right w:val="single" w:sz="4" w:space="0" w:color="auto"/>
            </w:tcBorders>
          </w:tcPr>
          <w:p>
            <w:pPr>
              <w:tabs>
                <w:tab w:val="left" w:pos="-1843"/>
              </w:tabs>
              <w:suppressAutoHyphens/>
              <w:spacing w:line="276" w:lineRule="auto"/>
              <w:jc w:val="both"/>
              <w:rPr>
                <w:sz w:val="20"/>
                <w:lang w:eastAsia="lt-LT"/>
              </w:rPr>
            </w:pPr>
          </w:p>
        </w:tc>
        <w:tc>
          <w:tcPr>
            <w:tcW w:w="1526" w:type="dxa"/>
            <w:tcBorders>
              <w:top w:val="single" w:sz="4" w:space="0" w:color="auto"/>
              <w:left w:val="single" w:sz="4" w:space="0" w:color="auto"/>
              <w:bottom w:val="single" w:sz="4" w:space="0" w:color="auto"/>
              <w:right w:val="single" w:sz="4" w:space="0" w:color="auto"/>
            </w:tcBorders>
          </w:tcPr>
          <w:p>
            <w:pPr>
              <w:tabs>
                <w:tab w:val="left" w:pos="-1843"/>
              </w:tabs>
              <w:suppressAutoHyphens/>
              <w:spacing w:line="276" w:lineRule="auto"/>
              <w:jc w:val="both"/>
              <w:rPr>
                <w:sz w:val="20"/>
                <w:lang w:eastAsia="lt-LT"/>
              </w:rPr>
            </w:pPr>
          </w:p>
        </w:tc>
        <w:tc>
          <w:tcPr>
            <w:tcW w:w="1026" w:type="dxa"/>
            <w:tcBorders>
              <w:top w:val="single" w:sz="4" w:space="0" w:color="auto"/>
              <w:left w:val="single" w:sz="4" w:space="0" w:color="auto"/>
              <w:bottom w:val="single" w:sz="4" w:space="0" w:color="auto"/>
              <w:right w:val="single" w:sz="4" w:space="0" w:color="auto"/>
            </w:tcBorders>
          </w:tcPr>
          <w:p>
            <w:pPr>
              <w:tabs>
                <w:tab w:val="left" w:pos="-1843"/>
              </w:tabs>
              <w:suppressAutoHyphens/>
              <w:spacing w:line="276" w:lineRule="auto"/>
              <w:jc w:val="both"/>
              <w:rPr>
                <w:sz w:val="20"/>
                <w:lang w:eastAsia="lt-LT"/>
              </w:rPr>
            </w:pPr>
            <w:r>
              <w:rPr>
                <w:sz w:val="20"/>
                <w:lang w:eastAsia="lt-LT"/>
              </w:rPr>
              <w:t>kompl.</w:t>
            </w:r>
          </w:p>
        </w:tc>
        <w:tc>
          <w:tcPr>
            <w:tcW w:w="887" w:type="dxa"/>
            <w:tcBorders>
              <w:left w:val="single" w:sz="4" w:space="0" w:color="auto"/>
              <w:right w:val="single" w:sz="4" w:space="0" w:color="auto"/>
            </w:tcBorders>
          </w:tcPr>
          <w:p>
            <w:pPr>
              <w:tabs>
                <w:tab w:val="left" w:pos="-1843"/>
              </w:tabs>
              <w:suppressAutoHyphens/>
              <w:spacing w:line="276" w:lineRule="auto"/>
              <w:jc w:val="both"/>
              <w:rPr>
                <w:sz w:val="20"/>
                <w:lang w:eastAsia="lt-LT"/>
              </w:rPr>
            </w:pPr>
          </w:p>
        </w:tc>
        <w:tc>
          <w:tcPr>
            <w:tcW w:w="530" w:type="dxa"/>
            <w:tcBorders>
              <w:left w:val="single" w:sz="4" w:space="0" w:color="auto"/>
              <w:right w:val="single" w:sz="4" w:space="0" w:color="auto"/>
            </w:tcBorders>
          </w:tcPr>
          <w:p>
            <w:pPr>
              <w:tabs>
                <w:tab w:val="left" w:pos="-1843"/>
              </w:tabs>
              <w:suppressAutoHyphens/>
              <w:spacing w:line="276" w:lineRule="auto"/>
              <w:jc w:val="both"/>
              <w:rPr>
                <w:sz w:val="20"/>
                <w:lang w:eastAsia="lt-LT"/>
              </w:rPr>
            </w:pPr>
          </w:p>
        </w:tc>
      </w:tr>
      <w:tr>
        <w:tc>
          <w:tcPr>
            <w:tcW w:w="817" w:type="dxa"/>
            <w:tcBorders>
              <w:top w:val="single" w:sz="4" w:space="0" w:color="auto"/>
              <w:left w:val="single" w:sz="4" w:space="0" w:color="auto"/>
              <w:bottom w:val="single" w:sz="4" w:space="0" w:color="auto"/>
              <w:right w:val="single" w:sz="4" w:space="0" w:color="auto"/>
            </w:tcBorders>
          </w:tcPr>
          <w:p>
            <w:pPr>
              <w:tabs>
                <w:tab w:val="left" w:pos="-1843"/>
              </w:tabs>
              <w:suppressAutoHyphens/>
              <w:spacing w:line="276" w:lineRule="auto"/>
              <w:jc w:val="both"/>
              <w:rPr>
                <w:sz w:val="20"/>
                <w:lang w:eastAsia="lt-LT"/>
              </w:rPr>
            </w:pPr>
            <w:r>
              <w:rPr>
                <w:sz w:val="20"/>
                <w:lang w:eastAsia="lt-LT"/>
              </w:rPr>
              <w:t>5.2.6</w:t>
            </w:r>
          </w:p>
        </w:tc>
        <w:tc>
          <w:tcPr>
            <w:tcW w:w="2444" w:type="dxa"/>
            <w:tcBorders>
              <w:top w:val="single" w:sz="4" w:space="0" w:color="auto"/>
              <w:left w:val="single" w:sz="4" w:space="0" w:color="auto"/>
              <w:bottom w:val="single" w:sz="4" w:space="0" w:color="auto"/>
              <w:right w:val="single" w:sz="4" w:space="0" w:color="auto"/>
            </w:tcBorders>
          </w:tcPr>
          <w:p>
            <w:pPr>
              <w:tabs>
                <w:tab w:val="left" w:pos="-1843"/>
              </w:tabs>
              <w:suppressAutoHyphens/>
              <w:spacing w:line="276" w:lineRule="auto"/>
              <w:jc w:val="both"/>
              <w:rPr>
                <w:sz w:val="20"/>
                <w:lang w:eastAsia="lt-LT"/>
              </w:rPr>
            </w:pPr>
            <w:r>
              <w:rPr>
                <w:sz w:val="20"/>
                <w:lang w:eastAsia="lt-LT"/>
              </w:rPr>
              <w:t>kitų (</w:t>
            </w:r>
            <w:r>
              <w:rPr>
                <w:i/>
                <w:sz w:val="20"/>
                <w:lang w:eastAsia="lt-LT"/>
              </w:rPr>
              <w:t>nurodyti</w:t>
            </w:r>
            <w:r>
              <w:rPr>
                <w:sz w:val="20"/>
                <w:lang w:eastAsia="lt-LT"/>
              </w:rPr>
              <w:t>) namui priklausančių vietinių įrenginių atnaujinimas ar keitimas</w:t>
            </w:r>
          </w:p>
        </w:tc>
        <w:tc>
          <w:tcPr>
            <w:tcW w:w="2409" w:type="dxa"/>
            <w:tcBorders>
              <w:top w:val="single" w:sz="4" w:space="0" w:color="auto"/>
              <w:left w:val="single" w:sz="4" w:space="0" w:color="auto"/>
              <w:bottom w:val="single" w:sz="4" w:space="0" w:color="auto"/>
              <w:right w:val="single" w:sz="4" w:space="0" w:color="auto"/>
            </w:tcBorders>
          </w:tcPr>
          <w:p>
            <w:pPr>
              <w:tabs>
                <w:tab w:val="left" w:pos="-1843"/>
              </w:tabs>
              <w:suppressAutoHyphens/>
              <w:spacing w:line="276" w:lineRule="auto"/>
              <w:jc w:val="both"/>
              <w:rPr>
                <w:sz w:val="20"/>
                <w:lang w:eastAsia="lt-LT"/>
              </w:rPr>
            </w:pPr>
          </w:p>
        </w:tc>
        <w:tc>
          <w:tcPr>
            <w:tcW w:w="1526" w:type="dxa"/>
            <w:tcBorders>
              <w:top w:val="single" w:sz="4" w:space="0" w:color="auto"/>
              <w:left w:val="single" w:sz="4" w:space="0" w:color="auto"/>
              <w:bottom w:val="single" w:sz="4" w:space="0" w:color="auto"/>
              <w:right w:val="single" w:sz="4" w:space="0" w:color="auto"/>
            </w:tcBorders>
          </w:tcPr>
          <w:p>
            <w:pPr>
              <w:tabs>
                <w:tab w:val="left" w:pos="-1843"/>
              </w:tabs>
              <w:suppressAutoHyphens/>
              <w:spacing w:line="276" w:lineRule="auto"/>
              <w:jc w:val="both"/>
              <w:rPr>
                <w:sz w:val="20"/>
                <w:lang w:eastAsia="lt-LT"/>
              </w:rPr>
            </w:pPr>
          </w:p>
        </w:tc>
        <w:tc>
          <w:tcPr>
            <w:tcW w:w="1026" w:type="dxa"/>
            <w:tcBorders>
              <w:top w:val="single" w:sz="4" w:space="0" w:color="auto"/>
              <w:left w:val="single" w:sz="4" w:space="0" w:color="auto"/>
              <w:bottom w:val="single" w:sz="4" w:space="0" w:color="auto"/>
              <w:right w:val="single" w:sz="4" w:space="0" w:color="auto"/>
            </w:tcBorders>
          </w:tcPr>
          <w:p>
            <w:pPr>
              <w:tabs>
                <w:tab w:val="left" w:pos="-1843"/>
              </w:tabs>
              <w:suppressAutoHyphens/>
              <w:spacing w:line="276" w:lineRule="auto"/>
              <w:jc w:val="both"/>
              <w:rPr>
                <w:sz w:val="20"/>
                <w:lang w:eastAsia="lt-LT"/>
              </w:rPr>
            </w:pPr>
            <w:r>
              <w:rPr>
                <w:sz w:val="20"/>
                <w:lang w:eastAsia="lt-LT"/>
              </w:rPr>
              <w:t>kompl.</w:t>
            </w:r>
          </w:p>
        </w:tc>
        <w:tc>
          <w:tcPr>
            <w:tcW w:w="887" w:type="dxa"/>
            <w:tcBorders>
              <w:left w:val="single" w:sz="4" w:space="0" w:color="auto"/>
              <w:right w:val="single" w:sz="4" w:space="0" w:color="auto"/>
            </w:tcBorders>
          </w:tcPr>
          <w:p>
            <w:pPr>
              <w:tabs>
                <w:tab w:val="left" w:pos="-1843"/>
              </w:tabs>
              <w:suppressAutoHyphens/>
              <w:spacing w:line="276" w:lineRule="auto"/>
              <w:jc w:val="both"/>
              <w:rPr>
                <w:sz w:val="20"/>
                <w:lang w:eastAsia="lt-LT"/>
              </w:rPr>
            </w:pPr>
          </w:p>
        </w:tc>
        <w:tc>
          <w:tcPr>
            <w:tcW w:w="530" w:type="dxa"/>
            <w:tcBorders>
              <w:left w:val="single" w:sz="4" w:space="0" w:color="auto"/>
              <w:right w:val="single" w:sz="4" w:space="0" w:color="auto"/>
            </w:tcBorders>
          </w:tcPr>
          <w:p>
            <w:pPr>
              <w:tabs>
                <w:tab w:val="left" w:pos="-1843"/>
              </w:tabs>
              <w:suppressAutoHyphens/>
              <w:spacing w:line="276" w:lineRule="auto"/>
              <w:jc w:val="both"/>
              <w:rPr>
                <w:sz w:val="20"/>
                <w:lang w:eastAsia="lt-LT"/>
              </w:rPr>
            </w:pPr>
          </w:p>
        </w:tc>
      </w:tr>
      <w:tr>
        <w:tc>
          <w:tcPr>
            <w:tcW w:w="817" w:type="dxa"/>
            <w:tcBorders>
              <w:top w:val="single" w:sz="4" w:space="0" w:color="auto"/>
              <w:left w:val="single" w:sz="4" w:space="0" w:color="auto"/>
              <w:bottom w:val="single" w:sz="4" w:space="0" w:color="auto"/>
              <w:right w:val="single" w:sz="4" w:space="0" w:color="auto"/>
            </w:tcBorders>
          </w:tcPr>
          <w:p>
            <w:pPr>
              <w:tabs>
                <w:tab w:val="left" w:pos="-1843"/>
              </w:tabs>
              <w:suppressAutoHyphens/>
              <w:spacing w:line="276" w:lineRule="auto"/>
              <w:jc w:val="both"/>
              <w:rPr>
                <w:sz w:val="20"/>
                <w:lang w:eastAsia="lt-LT"/>
              </w:rPr>
            </w:pPr>
            <w:r>
              <w:rPr>
                <w:sz w:val="20"/>
                <w:lang w:eastAsia="lt-LT"/>
              </w:rPr>
              <w:t>5.2.7</w:t>
            </w:r>
          </w:p>
        </w:tc>
        <w:tc>
          <w:tcPr>
            <w:tcW w:w="2444" w:type="dxa"/>
            <w:tcBorders>
              <w:top w:val="single" w:sz="4" w:space="0" w:color="auto"/>
              <w:left w:val="single" w:sz="4" w:space="0" w:color="auto"/>
              <w:bottom w:val="single" w:sz="4" w:space="0" w:color="auto"/>
              <w:right w:val="single" w:sz="4" w:space="0" w:color="auto"/>
            </w:tcBorders>
          </w:tcPr>
          <w:p>
            <w:pPr>
              <w:tabs>
                <w:tab w:val="left" w:pos="-1843"/>
              </w:tabs>
              <w:suppressAutoHyphens/>
              <w:spacing w:line="276" w:lineRule="auto"/>
              <w:jc w:val="both"/>
              <w:rPr>
                <w:sz w:val="20"/>
                <w:lang w:eastAsia="lt-LT"/>
              </w:rPr>
            </w:pPr>
            <w:r>
              <w:rPr>
                <w:sz w:val="20"/>
                <w:lang w:eastAsia="lt-LT"/>
              </w:rPr>
              <w:t>balkonų laikančiųjų konstrukcijų ir saugos aptvarų keitimas</w:t>
            </w:r>
          </w:p>
        </w:tc>
        <w:tc>
          <w:tcPr>
            <w:tcW w:w="2409" w:type="dxa"/>
            <w:tcBorders>
              <w:top w:val="single" w:sz="4" w:space="0" w:color="auto"/>
              <w:left w:val="single" w:sz="4" w:space="0" w:color="auto"/>
              <w:bottom w:val="single" w:sz="4" w:space="0" w:color="auto"/>
              <w:right w:val="single" w:sz="4" w:space="0" w:color="auto"/>
            </w:tcBorders>
          </w:tcPr>
          <w:p>
            <w:pPr>
              <w:tabs>
                <w:tab w:val="left" w:pos="-1843"/>
              </w:tabs>
              <w:suppressAutoHyphens/>
              <w:spacing w:line="276" w:lineRule="auto"/>
              <w:jc w:val="both"/>
              <w:rPr>
                <w:sz w:val="20"/>
                <w:lang w:eastAsia="lt-LT"/>
              </w:rPr>
            </w:pPr>
          </w:p>
        </w:tc>
        <w:tc>
          <w:tcPr>
            <w:tcW w:w="1526" w:type="dxa"/>
            <w:tcBorders>
              <w:top w:val="single" w:sz="4" w:space="0" w:color="auto"/>
              <w:left w:val="single" w:sz="4" w:space="0" w:color="auto"/>
              <w:bottom w:val="single" w:sz="4" w:space="0" w:color="auto"/>
              <w:right w:val="single" w:sz="4" w:space="0" w:color="auto"/>
            </w:tcBorders>
          </w:tcPr>
          <w:p>
            <w:pPr>
              <w:tabs>
                <w:tab w:val="left" w:pos="-1843"/>
              </w:tabs>
              <w:suppressAutoHyphens/>
              <w:spacing w:line="276" w:lineRule="auto"/>
              <w:jc w:val="both"/>
              <w:rPr>
                <w:sz w:val="20"/>
                <w:lang w:eastAsia="lt-LT"/>
              </w:rPr>
            </w:pPr>
          </w:p>
        </w:tc>
        <w:tc>
          <w:tcPr>
            <w:tcW w:w="1026" w:type="dxa"/>
            <w:tcBorders>
              <w:top w:val="single" w:sz="4" w:space="0" w:color="auto"/>
              <w:left w:val="single" w:sz="4" w:space="0" w:color="auto"/>
              <w:bottom w:val="single" w:sz="4" w:space="0" w:color="auto"/>
              <w:right w:val="single" w:sz="4" w:space="0" w:color="auto"/>
            </w:tcBorders>
          </w:tcPr>
          <w:p>
            <w:pPr>
              <w:tabs>
                <w:tab w:val="left" w:pos="-1843"/>
              </w:tabs>
              <w:suppressAutoHyphens/>
              <w:spacing w:line="276" w:lineRule="auto"/>
              <w:jc w:val="both"/>
              <w:rPr>
                <w:sz w:val="20"/>
                <w:lang w:eastAsia="lt-LT"/>
              </w:rPr>
            </w:pPr>
            <w:r>
              <w:rPr>
                <w:sz w:val="20"/>
                <w:lang w:eastAsia="lt-LT"/>
              </w:rPr>
              <w:t>vnt.</w:t>
            </w:r>
          </w:p>
        </w:tc>
        <w:tc>
          <w:tcPr>
            <w:tcW w:w="887" w:type="dxa"/>
            <w:tcBorders>
              <w:left w:val="single" w:sz="4" w:space="0" w:color="auto"/>
              <w:right w:val="single" w:sz="4" w:space="0" w:color="auto"/>
            </w:tcBorders>
          </w:tcPr>
          <w:p>
            <w:pPr>
              <w:tabs>
                <w:tab w:val="left" w:pos="-1843"/>
              </w:tabs>
              <w:suppressAutoHyphens/>
              <w:spacing w:line="276" w:lineRule="auto"/>
              <w:jc w:val="both"/>
              <w:rPr>
                <w:sz w:val="20"/>
                <w:lang w:eastAsia="lt-LT"/>
              </w:rPr>
            </w:pPr>
          </w:p>
        </w:tc>
        <w:tc>
          <w:tcPr>
            <w:tcW w:w="530" w:type="dxa"/>
            <w:tcBorders>
              <w:left w:val="single" w:sz="4" w:space="0" w:color="auto"/>
              <w:right w:val="single" w:sz="4" w:space="0" w:color="auto"/>
            </w:tcBorders>
          </w:tcPr>
          <w:p>
            <w:pPr>
              <w:tabs>
                <w:tab w:val="left" w:pos="-1843"/>
              </w:tabs>
              <w:suppressAutoHyphens/>
              <w:spacing w:line="276" w:lineRule="auto"/>
              <w:jc w:val="both"/>
              <w:rPr>
                <w:sz w:val="20"/>
                <w:lang w:eastAsia="lt-LT"/>
              </w:rPr>
            </w:pPr>
          </w:p>
        </w:tc>
      </w:tr>
      <w:tr>
        <w:tc>
          <w:tcPr>
            <w:tcW w:w="817" w:type="dxa"/>
            <w:tcBorders>
              <w:top w:val="single" w:sz="4" w:space="0" w:color="auto"/>
              <w:left w:val="single" w:sz="4" w:space="0" w:color="auto"/>
              <w:bottom w:val="single" w:sz="4" w:space="0" w:color="auto"/>
              <w:right w:val="single" w:sz="4" w:space="0" w:color="auto"/>
            </w:tcBorders>
          </w:tcPr>
          <w:p>
            <w:pPr>
              <w:tabs>
                <w:tab w:val="left" w:pos="-1843"/>
              </w:tabs>
              <w:suppressAutoHyphens/>
              <w:spacing w:line="276" w:lineRule="auto"/>
              <w:jc w:val="both"/>
              <w:rPr>
                <w:sz w:val="20"/>
                <w:lang w:eastAsia="lt-LT"/>
              </w:rPr>
            </w:pPr>
            <w:r>
              <w:rPr>
                <w:sz w:val="20"/>
                <w:lang w:eastAsia="lt-LT"/>
              </w:rPr>
              <w:t>5.2.8</w:t>
            </w:r>
          </w:p>
        </w:tc>
        <w:tc>
          <w:tcPr>
            <w:tcW w:w="2444" w:type="dxa"/>
            <w:tcBorders>
              <w:top w:val="single" w:sz="4" w:space="0" w:color="auto"/>
              <w:left w:val="single" w:sz="4" w:space="0" w:color="auto"/>
              <w:bottom w:val="single" w:sz="4" w:space="0" w:color="auto"/>
              <w:right w:val="single" w:sz="4" w:space="0" w:color="auto"/>
            </w:tcBorders>
          </w:tcPr>
          <w:p>
            <w:pPr>
              <w:tabs>
                <w:tab w:val="left" w:pos="-1843"/>
              </w:tabs>
              <w:suppressAutoHyphens/>
              <w:spacing w:line="276" w:lineRule="auto"/>
              <w:jc w:val="both"/>
              <w:rPr>
                <w:sz w:val="20"/>
                <w:lang w:eastAsia="lt-LT"/>
              </w:rPr>
            </w:pPr>
            <w:r>
              <w:rPr>
                <w:sz w:val="20"/>
                <w:lang w:eastAsia="lt-LT"/>
              </w:rPr>
              <w:t>stogelių virš įėjimo į pastatą keitimas</w:t>
            </w:r>
          </w:p>
        </w:tc>
        <w:tc>
          <w:tcPr>
            <w:tcW w:w="2409" w:type="dxa"/>
            <w:tcBorders>
              <w:top w:val="single" w:sz="4" w:space="0" w:color="auto"/>
              <w:left w:val="single" w:sz="4" w:space="0" w:color="auto"/>
              <w:bottom w:val="single" w:sz="4" w:space="0" w:color="auto"/>
              <w:right w:val="single" w:sz="4" w:space="0" w:color="auto"/>
            </w:tcBorders>
          </w:tcPr>
          <w:p>
            <w:pPr>
              <w:tabs>
                <w:tab w:val="left" w:pos="-1843"/>
              </w:tabs>
              <w:suppressAutoHyphens/>
              <w:spacing w:line="276" w:lineRule="auto"/>
              <w:jc w:val="both"/>
              <w:rPr>
                <w:sz w:val="20"/>
                <w:lang w:eastAsia="lt-LT"/>
              </w:rPr>
            </w:pPr>
          </w:p>
        </w:tc>
        <w:tc>
          <w:tcPr>
            <w:tcW w:w="1526" w:type="dxa"/>
            <w:tcBorders>
              <w:top w:val="single" w:sz="4" w:space="0" w:color="auto"/>
              <w:left w:val="single" w:sz="4" w:space="0" w:color="auto"/>
              <w:bottom w:val="single" w:sz="4" w:space="0" w:color="auto"/>
              <w:right w:val="single" w:sz="4" w:space="0" w:color="auto"/>
            </w:tcBorders>
          </w:tcPr>
          <w:p>
            <w:pPr>
              <w:tabs>
                <w:tab w:val="left" w:pos="-1843"/>
              </w:tabs>
              <w:suppressAutoHyphens/>
              <w:spacing w:line="276" w:lineRule="auto"/>
              <w:jc w:val="both"/>
              <w:rPr>
                <w:sz w:val="20"/>
                <w:lang w:eastAsia="lt-LT"/>
              </w:rPr>
            </w:pPr>
          </w:p>
        </w:tc>
        <w:tc>
          <w:tcPr>
            <w:tcW w:w="1026" w:type="dxa"/>
            <w:tcBorders>
              <w:top w:val="single" w:sz="4" w:space="0" w:color="auto"/>
              <w:left w:val="single" w:sz="4" w:space="0" w:color="auto"/>
              <w:bottom w:val="single" w:sz="4" w:space="0" w:color="auto"/>
              <w:right w:val="single" w:sz="4" w:space="0" w:color="auto"/>
            </w:tcBorders>
          </w:tcPr>
          <w:p>
            <w:pPr>
              <w:tabs>
                <w:tab w:val="left" w:pos="-1843"/>
              </w:tabs>
              <w:suppressAutoHyphens/>
              <w:spacing w:line="276" w:lineRule="auto"/>
              <w:jc w:val="both"/>
              <w:rPr>
                <w:sz w:val="20"/>
                <w:lang w:eastAsia="lt-LT"/>
              </w:rPr>
            </w:pPr>
            <w:r>
              <w:rPr>
                <w:sz w:val="20"/>
                <w:lang w:eastAsia="lt-LT"/>
              </w:rPr>
              <w:t>vnt.</w:t>
            </w:r>
          </w:p>
        </w:tc>
        <w:tc>
          <w:tcPr>
            <w:tcW w:w="887" w:type="dxa"/>
            <w:tcBorders>
              <w:left w:val="single" w:sz="4" w:space="0" w:color="auto"/>
              <w:right w:val="single" w:sz="4" w:space="0" w:color="auto"/>
            </w:tcBorders>
          </w:tcPr>
          <w:p>
            <w:pPr>
              <w:tabs>
                <w:tab w:val="left" w:pos="-1843"/>
              </w:tabs>
              <w:suppressAutoHyphens/>
              <w:spacing w:line="276" w:lineRule="auto"/>
              <w:jc w:val="both"/>
              <w:rPr>
                <w:sz w:val="20"/>
                <w:lang w:eastAsia="lt-LT"/>
              </w:rPr>
            </w:pPr>
          </w:p>
        </w:tc>
        <w:tc>
          <w:tcPr>
            <w:tcW w:w="530" w:type="dxa"/>
            <w:tcBorders>
              <w:left w:val="single" w:sz="4" w:space="0" w:color="auto"/>
              <w:right w:val="single" w:sz="4" w:space="0" w:color="auto"/>
            </w:tcBorders>
          </w:tcPr>
          <w:p>
            <w:pPr>
              <w:tabs>
                <w:tab w:val="left" w:pos="-1843"/>
              </w:tabs>
              <w:suppressAutoHyphens/>
              <w:spacing w:line="276" w:lineRule="auto"/>
              <w:jc w:val="both"/>
              <w:rPr>
                <w:sz w:val="20"/>
                <w:lang w:eastAsia="lt-LT"/>
              </w:rPr>
            </w:pPr>
          </w:p>
        </w:tc>
      </w:tr>
      <w:tr>
        <w:tc>
          <w:tcPr>
            <w:tcW w:w="817" w:type="dxa"/>
            <w:tcBorders>
              <w:top w:val="single" w:sz="4" w:space="0" w:color="auto"/>
              <w:left w:val="single" w:sz="4" w:space="0" w:color="auto"/>
              <w:bottom w:val="single" w:sz="4" w:space="0" w:color="auto"/>
              <w:right w:val="single" w:sz="4" w:space="0" w:color="auto"/>
            </w:tcBorders>
          </w:tcPr>
          <w:p>
            <w:pPr>
              <w:tabs>
                <w:tab w:val="left" w:pos="-1843"/>
              </w:tabs>
              <w:suppressAutoHyphens/>
              <w:spacing w:line="276" w:lineRule="auto"/>
              <w:jc w:val="both"/>
              <w:rPr>
                <w:sz w:val="20"/>
                <w:lang w:eastAsia="lt-LT"/>
              </w:rPr>
            </w:pPr>
            <w:r>
              <w:rPr>
                <w:sz w:val="20"/>
                <w:lang w:eastAsia="lt-LT"/>
              </w:rPr>
              <w:t>5.2.9</w:t>
            </w:r>
          </w:p>
        </w:tc>
        <w:tc>
          <w:tcPr>
            <w:tcW w:w="2444" w:type="dxa"/>
            <w:tcBorders>
              <w:top w:val="single" w:sz="4" w:space="0" w:color="auto"/>
              <w:left w:val="single" w:sz="4" w:space="0" w:color="auto"/>
              <w:bottom w:val="single" w:sz="4" w:space="0" w:color="auto"/>
              <w:right w:val="single" w:sz="4" w:space="0" w:color="auto"/>
            </w:tcBorders>
          </w:tcPr>
          <w:p>
            <w:pPr>
              <w:tabs>
                <w:tab w:val="left" w:pos="-1843"/>
              </w:tabs>
              <w:suppressAutoHyphens/>
              <w:spacing w:line="276" w:lineRule="auto"/>
              <w:jc w:val="both"/>
              <w:rPr>
                <w:sz w:val="20"/>
                <w:lang w:eastAsia="lt-LT"/>
              </w:rPr>
            </w:pPr>
            <w:r>
              <w:rPr>
                <w:sz w:val="20"/>
                <w:lang w:eastAsia="lt-LT"/>
              </w:rPr>
              <w:t>laiptinių vidaus sienų, lubų, grindų paruošimas dažymui ir dažymas, turėklų atnaujinimas ir dažymas</w:t>
            </w:r>
          </w:p>
        </w:tc>
        <w:tc>
          <w:tcPr>
            <w:tcW w:w="2409" w:type="dxa"/>
            <w:tcBorders>
              <w:top w:val="single" w:sz="4" w:space="0" w:color="auto"/>
              <w:left w:val="single" w:sz="4" w:space="0" w:color="auto"/>
              <w:bottom w:val="single" w:sz="4" w:space="0" w:color="auto"/>
              <w:right w:val="single" w:sz="4" w:space="0" w:color="auto"/>
            </w:tcBorders>
          </w:tcPr>
          <w:p>
            <w:pPr>
              <w:tabs>
                <w:tab w:val="left" w:pos="-1843"/>
              </w:tabs>
              <w:suppressAutoHyphens/>
              <w:spacing w:line="276" w:lineRule="auto"/>
              <w:jc w:val="both"/>
              <w:rPr>
                <w:sz w:val="20"/>
                <w:lang w:eastAsia="lt-LT"/>
              </w:rPr>
            </w:pPr>
          </w:p>
        </w:tc>
        <w:tc>
          <w:tcPr>
            <w:tcW w:w="1526" w:type="dxa"/>
            <w:tcBorders>
              <w:top w:val="single" w:sz="4" w:space="0" w:color="auto"/>
              <w:left w:val="single" w:sz="4" w:space="0" w:color="auto"/>
              <w:bottom w:val="single" w:sz="4" w:space="0" w:color="auto"/>
              <w:right w:val="single" w:sz="4" w:space="0" w:color="auto"/>
            </w:tcBorders>
          </w:tcPr>
          <w:p>
            <w:pPr>
              <w:tabs>
                <w:tab w:val="left" w:pos="-1843"/>
              </w:tabs>
              <w:suppressAutoHyphens/>
              <w:spacing w:line="276" w:lineRule="auto"/>
              <w:jc w:val="both"/>
              <w:rPr>
                <w:sz w:val="20"/>
                <w:lang w:eastAsia="lt-LT"/>
              </w:rPr>
            </w:pPr>
          </w:p>
        </w:tc>
        <w:tc>
          <w:tcPr>
            <w:tcW w:w="1026" w:type="dxa"/>
            <w:tcBorders>
              <w:top w:val="single" w:sz="4" w:space="0" w:color="auto"/>
              <w:left w:val="single" w:sz="4" w:space="0" w:color="auto"/>
              <w:bottom w:val="single" w:sz="4" w:space="0" w:color="auto"/>
              <w:right w:val="single" w:sz="4" w:space="0" w:color="auto"/>
            </w:tcBorders>
          </w:tcPr>
          <w:p>
            <w:pPr>
              <w:tabs>
                <w:tab w:val="left" w:pos="-1843"/>
              </w:tabs>
              <w:suppressAutoHyphens/>
              <w:spacing w:line="276" w:lineRule="auto"/>
              <w:jc w:val="both"/>
              <w:rPr>
                <w:sz w:val="20"/>
                <w:lang w:eastAsia="lt-LT"/>
              </w:rPr>
            </w:pPr>
            <w:r>
              <w:rPr>
                <w:sz w:val="20"/>
                <w:lang w:eastAsia="lt-LT"/>
              </w:rPr>
              <w:t>laiptinė</w:t>
            </w:r>
          </w:p>
        </w:tc>
        <w:tc>
          <w:tcPr>
            <w:tcW w:w="887" w:type="dxa"/>
            <w:tcBorders>
              <w:left w:val="single" w:sz="4" w:space="0" w:color="auto"/>
              <w:right w:val="single" w:sz="4" w:space="0" w:color="auto"/>
            </w:tcBorders>
          </w:tcPr>
          <w:p>
            <w:pPr>
              <w:tabs>
                <w:tab w:val="left" w:pos="-1843"/>
              </w:tabs>
              <w:suppressAutoHyphens/>
              <w:spacing w:line="276" w:lineRule="auto"/>
              <w:jc w:val="both"/>
              <w:rPr>
                <w:sz w:val="20"/>
                <w:lang w:eastAsia="lt-LT"/>
              </w:rPr>
            </w:pPr>
          </w:p>
        </w:tc>
        <w:tc>
          <w:tcPr>
            <w:tcW w:w="530" w:type="dxa"/>
            <w:tcBorders>
              <w:left w:val="single" w:sz="4" w:space="0" w:color="auto"/>
              <w:right w:val="single" w:sz="4" w:space="0" w:color="auto"/>
            </w:tcBorders>
          </w:tcPr>
          <w:p>
            <w:pPr>
              <w:tabs>
                <w:tab w:val="left" w:pos="-1843"/>
              </w:tabs>
              <w:suppressAutoHyphens/>
              <w:spacing w:line="276" w:lineRule="auto"/>
              <w:jc w:val="both"/>
              <w:rPr>
                <w:sz w:val="20"/>
                <w:lang w:eastAsia="lt-LT"/>
              </w:rPr>
            </w:pPr>
          </w:p>
        </w:tc>
      </w:tr>
      <w:tr>
        <w:tc>
          <w:tcPr>
            <w:tcW w:w="817" w:type="dxa"/>
            <w:tcBorders>
              <w:top w:val="single" w:sz="4" w:space="0" w:color="auto"/>
              <w:left w:val="single" w:sz="4" w:space="0" w:color="auto"/>
              <w:bottom w:val="single" w:sz="4" w:space="0" w:color="auto"/>
              <w:right w:val="single" w:sz="4" w:space="0" w:color="auto"/>
            </w:tcBorders>
          </w:tcPr>
          <w:p>
            <w:pPr>
              <w:tabs>
                <w:tab w:val="left" w:pos="-1843"/>
              </w:tabs>
              <w:suppressAutoHyphens/>
              <w:spacing w:line="276" w:lineRule="auto"/>
              <w:jc w:val="both"/>
              <w:rPr>
                <w:sz w:val="20"/>
                <w:lang w:eastAsia="lt-LT"/>
              </w:rPr>
            </w:pPr>
          </w:p>
        </w:tc>
        <w:tc>
          <w:tcPr>
            <w:tcW w:w="2444" w:type="dxa"/>
            <w:tcBorders>
              <w:top w:val="single" w:sz="4" w:space="0" w:color="auto"/>
              <w:left w:val="single" w:sz="4" w:space="0" w:color="auto"/>
              <w:bottom w:val="single" w:sz="4" w:space="0" w:color="auto"/>
              <w:right w:val="single" w:sz="4" w:space="0" w:color="auto"/>
            </w:tcBorders>
          </w:tcPr>
          <w:p>
            <w:pPr>
              <w:tabs>
                <w:tab w:val="left" w:pos="-1843"/>
              </w:tabs>
              <w:suppressAutoHyphens/>
              <w:spacing w:line="276" w:lineRule="auto"/>
              <w:jc w:val="both"/>
              <w:rPr>
                <w:sz w:val="20"/>
                <w:lang w:eastAsia="lt-LT"/>
              </w:rPr>
            </w:pPr>
            <w:r>
              <w:rPr>
                <w:sz w:val="20"/>
                <w:lang w:eastAsia="lt-LT"/>
              </w:rPr>
              <w:t>Iš viso (Eur be PVM)</w:t>
            </w:r>
          </w:p>
        </w:tc>
        <w:tc>
          <w:tcPr>
            <w:tcW w:w="2409" w:type="dxa"/>
            <w:tcBorders>
              <w:top w:val="single" w:sz="4" w:space="0" w:color="auto"/>
              <w:left w:val="single" w:sz="4" w:space="0" w:color="auto"/>
              <w:bottom w:val="single" w:sz="4" w:space="0" w:color="auto"/>
              <w:right w:val="single" w:sz="4" w:space="0" w:color="auto"/>
            </w:tcBorders>
          </w:tcPr>
          <w:p>
            <w:pPr>
              <w:tabs>
                <w:tab w:val="left" w:pos="-1843"/>
              </w:tabs>
              <w:suppressAutoHyphens/>
              <w:spacing w:line="276" w:lineRule="auto"/>
              <w:jc w:val="both"/>
              <w:rPr>
                <w:sz w:val="20"/>
                <w:lang w:eastAsia="lt-LT"/>
              </w:rPr>
            </w:pPr>
          </w:p>
        </w:tc>
        <w:tc>
          <w:tcPr>
            <w:tcW w:w="1526" w:type="dxa"/>
            <w:tcBorders>
              <w:top w:val="single" w:sz="4" w:space="0" w:color="auto"/>
              <w:left w:val="single" w:sz="4" w:space="0" w:color="auto"/>
              <w:bottom w:val="single" w:sz="4" w:space="0" w:color="auto"/>
              <w:right w:val="single" w:sz="4" w:space="0" w:color="auto"/>
            </w:tcBorders>
          </w:tcPr>
          <w:p>
            <w:pPr>
              <w:tabs>
                <w:tab w:val="left" w:pos="-1843"/>
              </w:tabs>
              <w:suppressAutoHyphens/>
              <w:spacing w:line="276" w:lineRule="auto"/>
              <w:jc w:val="both"/>
              <w:rPr>
                <w:sz w:val="20"/>
                <w:lang w:eastAsia="lt-LT"/>
              </w:rPr>
            </w:pPr>
          </w:p>
        </w:tc>
        <w:tc>
          <w:tcPr>
            <w:tcW w:w="1026" w:type="dxa"/>
            <w:tcBorders>
              <w:top w:val="single" w:sz="4" w:space="0" w:color="auto"/>
              <w:left w:val="single" w:sz="4" w:space="0" w:color="auto"/>
              <w:bottom w:val="single" w:sz="4" w:space="0" w:color="auto"/>
              <w:right w:val="single" w:sz="4" w:space="0" w:color="auto"/>
            </w:tcBorders>
          </w:tcPr>
          <w:p>
            <w:pPr>
              <w:tabs>
                <w:tab w:val="left" w:pos="-1843"/>
              </w:tabs>
              <w:suppressAutoHyphens/>
              <w:spacing w:line="276" w:lineRule="auto"/>
              <w:jc w:val="both"/>
              <w:rPr>
                <w:sz w:val="20"/>
                <w:lang w:eastAsia="lt-LT"/>
              </w:rPr>
            </w:pPr>
          </w:p>
        </w:tc>
        <w:tc>
          <w:tcPr>
            <w:tcW w:w="887" w:type="dxa"/>
            <w:tcBorders>
              <w:left w:val="single" w:sz="4" w:space="0" w:color="auto"/>
              <w:right w:val="single" w:sz="4" w:space="0" w:color="auto"/>
            </w:tcBorders>
          </w:tcPr>
          <w:p>
            <w:pPr>
              <w:tabs>
                <w:tab w:val="left" w:pos="-1843"/>
              </w:tabs>
              <w:suppressAutoHyphens/>
              <w:spacing w:line="276" w:lineRule="auto"/>
              <w:jc w:val="both"/>
              <w:rPr>
                <w:sz w:val="20"/>
                <w:lang w:eastAsia="lt-LT"/>
              </w:rPr>
            </w:pPr>
          </w:p>
        </w:tc>
        <w:tc>
          <w:tcPr>
            <w:tcW w:w="530" w:type="dxa"/>
            <w:tcBorders>
              <w:left w:val="single" w:sz="4" w:space="0" w:color="auto"/>
              <w:right w:val="single" w:sz="4" w:space="0" w:color="auto"/>
            </w:tcBorders>
          </w:tcPr>
          <w:p>
            <w:pPr>
              <w:tabs>
                <w:tab w:val="left" w:pos="-1843"/>
              </w:tabs>
              <w:suppressAutoHyphens/>
              <w:spacing w:line="276" w:lineRule="auto"/>
              <w:jc w:val="both"/>
              <w:rPr>
                <w:sz w:val="20"/>
                <w:lang w:eastAsia="lt-LT"/>
              </w:rPr>
            </w:pPr>
          </w:p>
        </w:tc>
      </w:tr>
      <w:tr>
        <w:tc>
          <w:tcPr>
            <w:tcW w:w="817" w:type="dxa"/>
            <w:tcBorders>
              <w:top w:val="single" w:sz="4" w:space="0" w:color="auto"/>
              <w:left w:val="single" w:sz="4" w:space="0" w:color="auto"/>
              <w:bottom w:val="single" w:sz="4" w:space="0" w:color="auto"/>
              <w:right w:val="single" w:sz="4" w:space="0" w:color="auto"/>
            </w:tcBorders>
          </w:tcPr>
          <w:p>
            <w:pPr>
              <w:tabs>
                <w:tab w:val="left" w:pos="-1843"/>
              </w:tabs>
              <w:suppressAutoHyphens/>
              <w:spacing w:line="276" w:lineRule="auto"/>
              <w:jc w:val="both"/>
              <w:rPr>
                <w:sz w:val="20"/>
                <w:lang w:eastAsia="lt-LT"/>
              </w:rPr>
            </w:pPr>
          </w:p>
        </w:tc>
        <w:tc>
          <w:tcPr>
            <w:tcW w:w="2444" w:type="dxa"/>
            <w:tcBorders>
              <w:top w:val="single" w:sz="4" w:space="0" w:color="auto"/>
              <w:left w:val="single" w:sz="4" w:space="0" w:color="auto"/>
              <w:bottom w:val="single" w:sz="4" w:space="0" w:color="auto"/>
              <w:right w:val="single" w:sz="4" w:space="0" w:color="auto"/>
            </w:tcBorders>
          </w:tcPr>
          <w:p>
            <w:pPr>
              <w:tabs>
                <w:tab w:val="left" w:pos="-1843"/>
              </w:tabs>
              <w:suppressAutoHyphens/>
              <w:spacing w:line="276" w:lineRule="auto"/>
              <w:jc w:val="both"/>
              <w:rPr>
                <w:sz w:val="20"/>
                <w:lang w:eastAsia="lt-LT"/>
              </w:rPr>
            </w:pPr>
            <w:r>
              <w:rPr>
                <w:sz w:val="20"/>
                <w:lang w:eastAsia="lt-LT"/>
              </w:rPr>
              <w:t>PVM</w:t>
            </w:r>
          </w:p>
        </w:tc>
        <w:tc>
          <w:tcPr>
            <w:tcW w:w="2409" w:type="dxa"/>
            <w:tcBorders>
              <w:top w:val="single" w:sz="4" w:space="0" w:color="auto"/>
              <w:left w:val="single" w:sz="4" w:space="0" w:color="auto"/>
              <w:bottom w:val="single" w:sz="4" w:space="0" w:color="auto"/>
              <w:right w:val="single" w:sz="4" w:space="0" w:color="auto"/>
            </w:tcBorders>
          </w:tcPr>
          <w:p>
            <w:pPr>
              <w:tabs>
                <w:tab w:val="left" w:pos="-1843"/>
              </w:tabs>
              <w:suppressAutoHyphens/>
              <w:spacing w:line="276" w:lineRule="auto"/>
              <w:jc w:val="both"/>
              <w:rPr>
                <w:sz w:val="20"/>
                <w:lang w:eastAsia="lt-LT"/>
              </w:rPr>
            </w:pPr>
          </w:p>
        </w:tc>
        <w:tc>
          <w:tcPr>
            <w:tcW w:w="1526" w:type="dxa"/>
            <w:tcBorders>
              <w:top w:val="single" w:sz="4" w:space="0" w:color="auto"/>
              <w:left w:val="single" w:sz="4" w:space="0" w:color="auto"/>
              <w:bottom w:val="single" w:sz="4" w:space="0" w:color="auto"/>
              <w:right w:val="single" w:sz="4" w:space="0" w:color="auto"/>
            </w:tcBorders>
          </w:tcPr>
          <w:p>
            <w:pPr>
              <w:tabs>
                <w:tab w:val="left" w:pos="-1843"/>
              </w:tabs>
              <w:suppressAutoHyphens/>
              <w:spacing w:line="276" w:lineRule="auto"/>
              <w:jc w:val="both"/>
              <w:rPr>
                <w:sz w:val="20"/>
                <w:lang w:eastAsia="lt-LT"/>
              </w:rPr>
            </w:pPr>
          </w:p>
        </w:tc>
        <w:tc>
          <w:tcPr>
            <w:tcW w:w="1026" w:type="dxa"/>
            <w:tcBorders>
              <w:top w:val="single" w:sz="4" w:space="0" w:color="auto"/>
              <w:left w:val="single" w:sz="4" w:space="0" w:color="auto"/>
              <w:bottom w:val="single" w:sz="4" w:space="0" w:color="auto"/>
              <w:right w:val="single" w:sz="4" w:space="0" w:color="auto"/>
            </w:tcBorders>
          </w:tcPr>
          <w:p>
            <w:pPr>
              <w:tabs>
                <w:tab w:val="left" w:pos="-1843"/>
              </w:tabs>
              <w:suppressAutoHyphens/>
              <w:spacing w:line="276" w:lineRule="auto"/>
              <w:jc w:val="both"/>
              <w:rPr>
                <w:sz w:val="20"/>
                <w:lang w:eastAsia="lt-LT"/>
              </w:rPr>
            </w:pPr>
          </w:p>
        </w:tc>
        <w:tc>
          <w:tcPr>
            <w:tcW w:w="887" w:type="dxa"/>
            <w:tcBorders>
              <w:left w:val="single" w:sz="4" w:space="0" w:color="auto"/>
              <w:right w:val="single" w:sz="4" w:space="0" w:color="auto"/>
            </w:tcBorders>
          </w:tcPr>
          <w:p>
            <w:pPr>
              <w:tabs>
                <w:tab w:val="left" w:pos="-1843"/>
              </w:tabs>
              <w:suppressAutoHyphens/>
              <w:spacing w:line="276" w:lineRule="auto"/>
              <w:jc w:val="both"/>
              <w:rPr>
                <w:sz w:val="20"/>
                <w:lang w:eastAsia="lt-LT"/>
              </w:rPr>
            </w:pPr>
          </w:p>
        </w:tc>
        <w:tc>
          <w:tcPr>
            <w:tcW w:w="530" w:type="dxa"/>
            <w:tcBorders>
              <w:left w:val="single" w:sz="4" w:space="0" w:color="auto"/>
              <w:right w:val="single" w:sz="4" w:space="0" w:color="auto"/>
            </w:tcBorders>
          </w:tcPr>
          <w:p>
            <w:pPr>
              <w:tabs>
                <w:tab w:val="left" w:pos="-1843"/>
              </w:tabs>
              <w:suppressAutoHyphens/>
              <w:spacing w:line="276" w:lineRule="auto"/>
              <w:jc w:val="both"/>
              <w:rPr>
                <w:sz w:val="20"/>
                <w:lang w:eastAsia="lt-LT"/>
              </w:rPr>
            </w:pPr>
          </w:p>
        </w:tc>
      </w:tr>
      <w:tr>
        <w:tc>
          <w:tcPr>
            <w:tcW w:w="817" w:type="dxa"/>
            <w:tcBorders>
              <w:top w:val="single" w:sz="4" w:space="0" w:color="auto"/>
              <w:left w:val="single" w:sz="4" w:space="0" w:color="auto"/>
              <w:bottom w:val="single" w:sz="4" w:space="0" w:color="auto"/>
              <w:right w:val="single" w:sz="4" w:space="0" w:color="auto"/>
            </w:tcBorders>
          </w:tcPr>
          <w:p>
            <w:pPr>
              <w:tabs>
                <w:tab w:val="left" w:pos="-1843"/>
              </w:tabs>
              <w:suppressAutoHyphens/>
              <w:spacing w:line="276" w:lineRule="auto"/>
              <w:jc w:val="both"/>
              <w:rPr>
                <w:sz w:val="20"/>
                <w:lang w:eastAsia="lt-LT"/>
              </w:rPr>
            </w:pPr>
          </w:p>
        </w:tc>
        <w:tc>
          <w:tcPr>
            <w:tcW w:w="2444" w:type="dxa"/>
            <w:tcBorders>
              <w:top w:val="single" w:sz="4" w:space="0" w:color="auto"/>
              <w:left w:val="single" w:sz="4" w:space="0" w:color="auto"/>
              <w:bottom w:val="single" w:sz="4" w:space="0" w:color="auto"/>
              <w:right w:val="single" w:sz="4" w:space="0" w:color="auto"/>
            </w:tcBorders>
          </w:tcPr>
          <w:p>
            <w:pPr>
              <w:tabs>
                <w:tab w:val="left" w:pos="-1843"/>
              </w:tabs>
              <w:suppressAutoHyphens/>
              <w:spacing w:line="276" w:lineRule="auto"/>
              <w:jc w:val="both"/>
              <w:rPr>
                <w:sz w:val="20"/>
                <w:lang w:eastAsia="lt-LT"/>
              </w:rPr>
            </w:pPr>
            <w:r>
              <w:rPr>
                <w:sz w:val="20"/>
                <w:lang w:eastAsia="lt-LT"/>
              </w:rPr>
              <w:t>Iš viso (Eur su PVM)</w:t>
            </w:r>
          </w:p>
        </w:tc>
        <w:tc>
          <w:tcPr>
            <w:tcW w:w="2409" w:type="dxa"/>
            <w:tcBorders>
              <w:top w:val="single" w:sz="4" w:space="0" w:color="auto"/>
              <w:left w:val="single" w:sz="4" w:space="0" w:color="auto"/>
              <w:bottom w:val="single" w:sz="4" w:space="0" w:color="auto"/>
              <w:right w:val="single" w:sz="4" w:space="0" w:color="auto"/>
            </w:tcBorders>
          </w:tcPr>
          <w:p>
            <w:pPr>
              <w:tabs>
                <w:tab w:val="left" w:pos="-1843"/>
              </w:tabs>
              <w:suppressAutoHyphens/>
              <w:spacing w:line="276" w:lineRule="auto"/>
              <w:jc w:val="both"/>
              <w:rPr>
                <w:sz w:val="20"/>
                <w:lang w:eastAsia="lt-LT"/>
              </w:rPr>
            </w:pPr>
          </w:p>
        </w:tc>
        <w:tc>
          <w:tcPr>
            <w:tcW w:w="1526" w:type="dxa"/>
            <w:tcBorders>
              <w:top w:val="single" w:sz="4" w:space="0" w:color="auto"/>
              <w:left w:val="single" w:sz="4" w:space="0" w:color="auto"/>
              <w:bottom w:val="single" w:sz="4" w:space="0" w:color="auto"/>
              <w:right w:val="single" w:sz="4" w:space="0" w:color="auto"/>
            </w:tcBorders>
          </w:tcPr>
          <w:p>
            <w:pPr>
              <w:tabs>
                <w:tab w:val="left" w:pos="-1843"/>
              </w:tabs>
              <w:suppressAutoHyphens/>
              <w:spacing w:line="276" w:lineRule="auto"/>
              <w:jc w:val="both"/>
              <w:rPr>
                <w:sz w:val="20"/>
                <w:lang w:eastAsia="lt-LT"/>
              </w:rPr>
            </w:pPr>
          </w:p>
        </w:tc>
        <w:tc>
          <w:tcPr>
            <w:tcW w:w="1026" w:type="dxa"/>
            <w:tcBorders>
              <w:top w:val="single" w:sz="4" w:space="0" w:color="auto"/>
              <w:left w:val="single" w:sz="4" w:space="0" w:color="auto"/>
              <w:bottom w:val="single" w:sz="4" w:space="0" w:color="auto"/>
              <w:right w:val="single" w:sz="4" w:space="0" w:color="auto"/>
            </w:tcBorders>
          </w:tcPr>
          <w:p>
            <w:pPr>
              <w:tabs>
                <w:tab w:val="left" w:pos="-1843"/>
              </w:tabs>
              <w:suppressAutoHyphens/>
              <w:spacing w:line="276" w:lineRule="auto"/>
              <w:jc w:val="both"/>
              <w:rPr>
                <w:sz w:val="20"/>
                <w:lang w:eastAsia="lt-LT"/>
              </w:rPr>
            </w:pPr>
          </w:p>
        </w:tc>
        <w:tc>
          <w:tcPr>
            <w:tcW w:w="887" w:type="dxa"/>
            <w:tcBorders>
              <w:left w:val="single" w:sz="4" w:space="0" w:color="auto"/>
              <w:right w:val="single" w:sz="4" w:space="0" w:color="auto"/>
            </w:tcBorders>
          </w:tcPr>
          <w:p>
            <w:pPr>
              <w:tabs>
                <w:tab w:val="left" w:pos="-1843"/>
              </w:tabs>
              <w:suppressAutoHyphens/>
              <w:spacing w:line="276" w:lineRule="auto"/>
              <w:jc w:val="both"/>
              <w:rPr>
                <w:sz w:val="20"/>
                <w:lang w:eastAsia="lt-LT"/>
              </w:rPr>
            </w:pPr>
          </w:p>
        </w:tc>
        <w:tc>
          <w:tcPr>
            <w:tcW w:w="530" w:type="dxa"/>
            <w:tcBorders>
              <w:left w:val="single" w:sz="4" w:space="0" w:color="auto"/>
              <w:right w:val="single" w:sz="4" w:space="0" w:color="auto"/>
            </w:tcBorders>
          </w:tcPr>
          <w:p>
            <w:pPr>
              <w:tabs>
                <w:tab w:val="left" w:pos="-1843"/>
              </w:tabs>
              <w:suppressAutoHyphens/>
              <w:spacing w:line="276" w:lineRule="auto"/>
              <w:jc w:val="both"/>
              <w:rPr>
                <w:sz w:val="20"/>
                <w:lang w:eastAsia="lt-LT"/>
              </w:rPr>
            </w:pPr>
          </w:p>
        </w:tc>
      </w:tr>
      <w:tr>
        <w:tc>
          <w:tcPr>
            <w:tcW w:w="817" w:type="dxa"/>
            <w:tcBorders>
              <w:top w:val="single" w:sz="4" w:space="0" w:color="auto"/>
              <w:left w:val="single" w:sz="4" w:space="0" w:color="auto"/>
              <w:bottom w:val="single" w:sz="4" w:space="0" w:color="auto"/>
              <w:right w:val="single" w:sz="4" w:space="0" w:color="auto"/>
            </w:tcBorders>
          </w:tcPr>
          <w:p>
            <w:pPr>
              <w:tabs>
                <w:tab w:val="left" w:pos="-1843"/>
              </w:tabs>
              <w:suppressAutoHyphens/>
              <w:spacing w:line="276" w:lineRule="auto"/>
              <w:jc w:val="both"/>
              <w:rPr>
                <w:sz w:val="20"/>
                <w:lang w:eastAsia="lt-LT"/>
              </w:rPr>
            </w:pPr>
            <w:r>
              <w:rPr>
                <w:sz w:val="20"/>
                <w:lang w:eastAsia="lt-LT"/>
              </w:rPr>
              <w:t>5.3.</w:t>
            </w:r>
          </w:p>
        </w:tc>
        <w:tc>
          <w:tcPr>
            <w:tcW w:w="2444" w:type="dxa"/>
            <w:tcBorders>
              <w:top w:val="single" w:sz="4" w:space="0" w:color="auto"/>
              <w:left w:val="single" w:sz="4" w:space="0" w:color="auto"/>
              <w:bottom w:val="single" w:sz="4" w:space="0" w:color="auto"/>
              <w:right w:val="single" w:sz="4" w:space="0" w:color="auto"/>
            </w:tcBorders>
          </w:tcPr>
          <w:p>
            <w:pPr>
              <w:tabs>
                <w:tab w:val="left" w:pos="-1843"/>
              </w:tabs>
              <w:suppressAutoHyphens/>
              <w:spacing w:line="276" w:lineRule="auto"/>
              <w:jc w:val="both"/>
              <w:rPr>
                <w:sz w:val="20"/>
                <w:lang w:eastAsia="lt-LT"/>
              </w:rPr>
            </w:pPr>
            <w:r>
              <w:rPr>
                <w:sz w:val="20"/>
                <w:lang w:eastAsia="lt-LT"/>
              </w:rPr>
              <w:t>kitų priemonių lyginamoji dalis nuo bendros investicijų sumos, procentais“</w:t>
            </w:r>
          </w:p>
        </w:tc>
        <w:tc>
          <w:tcPr>
            <w:tcW w:w="2409" w:type="dxa"/>
            <w:tcBorders>
              <w:top w:val="single" w:sz="4" w:space="0" w:color="auto"/>
              <w:left w:val="single" w:sz="4" w:space="0" w:color="auto"/>
              <w:bottom w:val="single" w:sz="4" w:space="0" w:color="auto"/>
              <w:right w:val="single" w:sz="4" w:space="0" w:color="auto"/>
            </w:tcBorders>
          </w:tcPr>
          <w:p>
            <w:pPr>
              <w:tabs>
                <w:tab w:val="left" w:pos="-1843"/>
              </w:tabs>
              <w:suppressAutoHyphens/>
              <w:spacing w:line="276" w:lineRule="auto"/>
              <w:jc w:val="both"/>
              <w:rPr>
                <w:sz w:val="20"/>
                <w:lang w:eastAsia="lt-LT"/>
              </w:rPr>
            </w:pPr>
          </w:p>
        </w:tc>
        <w:tc>
          <w:tcPr>
            <w:tcW w:w="1526" w:type="dxa"/>
            <w:tcBorders>
              <w:top w:val="single" w:sz="4" w:space="0" w:color="auto"/>
              <w:left w:val="single" w:sz="4" w:space="0" w:color="auto"/>
              <w:bottom w:val="single" w:sz="4" w:space="0" w:color="auto"/>
              <w:right w:val="single" w:sz="4" w:space="0" w:color="auto"/>
            </w:tcBorders>
          </w:tcPr>
          <w:p>
            <w:pPr>
              <w:tabs>
                <w:tab w:val="left" w:pos="-1843"/>
              </w:tabs>
              <w:suppressAutoHyphens/>
              <w:spacing w:line="276" w:lineRule="auto"/>
              <w:jc w:val="both"/>
              <w:rPr>
                <w:sz w:val="20"/>
                <w:lang w:eastAsia="lt-LT"/>
              </w:rPr>
            </w:pPr>
          </w:p>
        </w:tc>
        <w:tc>
          <w:tcPr>
            <w:tcW w:w="1026" w:type="dxa"/>
            <w:tcBorders>
              <w:top w:val="single" w:sz="4" w:space="0" w:color="auto"/>
              <w:left w:val="single" w:sz="4" w:space="0" w:color="auto"/>
              <w:bottom w:val="single" w:sz="4" w:space="0" w:color="auto"/>
              <w:right w:val="single" w:sz="4" w:space="0" w:color="auto"/>
            </w:tcBorders>
          </w:tcPr>
          <w:p>
            <w:pPr>
              <w:tabs>
                <w:tab w:val="left" w:pos="-1843"/>
              </w:tabs>
              <w:suppressAutoHyphens/>
              <w:spacing w:line="276" w:lineRule="auto"/>
              <w:jc w:val="both"/>
              <w:rPr>
                <w:sz w:val="20"/>
                <w:lang w:eastAsia="lt-LT"/>
              </w:rPr>
            </w:pPr>
          </w:p>
        </w:tc>
        <w:tc>
          <w:tcPr>
            <w:tcW w:w="887" w:type="dxa"/>
            <w:tcBorders>
              <w:left w:val="single" w:sz="4" w:space="0" w:color="auto"/>
              <w:bottom w:val="single" w:sz="4" w:space="0" w:color="auto"/>
              <w:right w:val="single" w:sz="4" w:space="0" w:color="auto"/>
            </w:tcBorders>
          </w:tcPr>
          <w:p>
            <w:pPr>
              <w:tabs>
                <w:tab w:val="left" w:pos="-1843"/>
              </w:tabs>
              <w:suppressAutoHyphens/>
              <w:spacing w:line="276" w:lineRule="auto"/>
              <w:jc w:val="both"/>
              <w:rPr>
                <w:sz w:val="20"/>
                <w:lang w:eastAsia="lt-LT"/>
              </w:rPr>
            </w:pPr>
          </w:p>
        </w:tc>
        <w:tc>
          <w:tcPr>
            <w:tcW w:w="530" w:type="dxa"/>
            <w:tcBorders>
              <w:left w:val="single" w:sz="4" w:space="0" w:color="auto"/>
              <w:bottom w:val="single" w:sz="4" w:space="0" w:color="auto"/>
              <w:right w:val="single" w:sz="4" w:space="0" w:color="auto"/>
            </w:tcBorders>
          </w:tcPr>
          <w:p>
            <w:pPr>
              <w:tabs>
                <w:tab w:val="left" w:pos="-1843"/>
              </w:tabs>
              <w:suppressAutoHyphens/>
              <w:spacing w:line="276" w:lineRule="auto"/>
              <w:jc w:val="both"/>
              <w:rPr>
                <w:sz w:val="20"/>
                <w:lang w:eastAsia="lt-LT"/>
              </w:rPr>
            </w:pPr>
          </w:p>
        </w:tc>
      </w:tr>
    </w:tbl>
    <w:p>
      <w:pPr/>
    </w:p>
    <w:p>
      <w:pPr>
        <w:pStyle w:val="PlainText"/>
        <w:rPr>
          <w:rFonts w:ascii="Times New Roman" w:eastAsia="MS Mincho" w:hAnsi="Times New Roman"/>
          <w:sz w:val="20"/>
          <w:i/>
          <w:iCs/>
        </w:rPr>
      </w:pPr>
      <w:r>
        <w:rPr>
          <w:rFonts w:ascii="Times New Roman" w:eastAsia="MS Mincho" w:hAnsi="Times New Roman"/>
          <w:sz w:val="20"/>
          <w:i/>
          <w:iCs/>
        </w:rPr>
        <w:t>Lentelės pakeitimai:</w:t>
      </w:r>
    </w:p>
    <w:p>
      <w:pPr>
        <w:pStyle w:val="PlainText"/>
        <w:jc w:val="both"/>
        <w:rPr>
          <w:rFonts w:ascii="Times New Roman" w:eastAsia="MS Mincho" w:hAnsi="Times New Roman"/>
          <w:sz w:val="20"/>
          <w:i/>
          <w:iCs/>
        </w:rPr>
      </w:pPr>
      <w:r>
        <w:rPr>
          <w:rFonts w:ascii="Times New Roman" w:eastAsia="MS Mincho" w:hAnsi="Times New Roman"/>
          <w:sz w:val="20"/>
          <w:i/>
          <w:iCs/>
        </w:rPr>
        <w:t xml:space="preserve">Nr. </w:t>
      </w:r>
      <w:fldSimple w:instr="HYPERLINK https://www.e-tar.lt/portal/legalAct.html?documentId=c3dc8760fa1f11e8a969c20aa4d38bd4">
        <w:r w:rsidRPr="00532B9F">
          <w:rPr>
            <w:rFonts w:ascii="Times New Roman" w:eastAsia="MS Mincho" w:hAnsi="Times New Roman"/>
            <w:sz w:val="20"/>
            <w:i/>
            <w:iCs/>
            <w:color w:val="0000FF" w:themeColor="hyperlink"/>
            <w:u w:val="single"/>
          </w:rPr>
          <w:t>D1-1073</w:t>
        </w:r>
      </w:fldSimple>
      <w:r>
        <w:rPr>
          <w:rFonts w:ascii="Times New Roman" w:eastAsia="MS Mincho" w:hAnsi="Times New Roman"/>
          <w:sz w:val="20"/>
          <w:i/>
          <w:iCs/>
        </w:rPr>
        <w:t>,
2018-12-07,
paskelbta TAR 2018-12-07, i. k. 2018-20118            </w:t>
      </w:r>
    </w:p>
    <w:p>
      <w:pPr>
        <w:pStyle w:val="PlainText"/>
        <w:jc w:val="both"/>
        <w:rPr>
          <w:rFonts w:ascii="Times New Roman" w:eastAsia="MS Mincho" w:hAnsi="Times New Roman"/>
          <w:sz w:val="20"/>
          <w:i/>
          <w:iCs/>
        </w:rPr>
      </w:pPr>
      <w:r>
        <w:rPr>
          <w:rFonts w:ascii="Times New Roman" w:eastAsia="MS Mincho" w:hAnsi="Times New Roman"/>
          <w:sz w:val="20"/>
          <w:i/>
          <w:iCs/>
        </w:rPr>
        <w:t xml:space="preserve">Nr. </w:t>
      </w:r>
      <w:fldSimple w:instr="HYPERLINK https://www.e-tar.lt/portal/legalAct.html?documentId=edc5df10be8011e9840ec0427c781bac">
        <w:r w:rsidRPr="00532B9F">
          <w:rPr>
            <w:rFonts w:ascii="Times New Roman" w:eastAsia="MS Mincho" w:hAnsi="Times New Roman"/>
            <w:sz w:val="20"/>
            <w:i/>
            <w:iCs/>
            <w:color w:val="0000FF" w:themeColor="hyperlink"/>
            <w:u w:val="single"/>
          </w:rPr>
          <w:t>D1-488</w:t>
        </w:r>
      </w:fldSimple>
      <w:r>
        <w:rPr>
          <w:rFonts w:ascii="Times New Roman" w:eastAsia="MS Mincho" w:hAnsi="Times New Roman"/>
          <w:sz w:val="20"/>
          <w:i/>
          <w:iCs/>
        </w:rPr>
        <w:t>,
2019-08-14,
paskelbta TAR 2019-08-14, i. k. 2019-13160            </w:t>
      </w:r>
    </w:p>
    <w:p/>
    <w:p>
      <w:pPr>
        <w:shd w:val="clear" w:color="000000" w:fill="auto"/>
        <w:suppressAutoHyphens/>
        <w:ind w:firstLine="709"/>
        <w:jc w:val="both"/>
      </w:pPr>
      <w:r>
        <w:t xml:space="preserve">* </w:t>
      </w:r>
      <w:r>
        <w:rPr>
          <w:sz w:val="20"/>
        </w:rPr>
        <w:t>Atitvarų šilumos perdavimo koeficiento U (W/(m-2K) vertės turi būti ne didesnės už nurodytąsias statybos techniniame reglamente STR 2.05.01:2013 „Pastatų energinio naudingumo projektavimas“.</w:t>
      </w:r>
    </w:p>
    <w:p>
      <w:pPr>
        <w:tabs>
          <w:tab w:val="left" w:pos="0"/>
        </w:tabs>
        <w:ind w:firstLine="709"/>
        <w:jc w:val="both"/>
        <w:rPr>
          <w:sz w:val="14"/>
          <w:szCs w:val="16"/>
        </w:rPr>
      </w:pPr>
      <w:r>
        <w:rPr>
          <w:rFonts w:eastAsia="Calibri"/>
          <w:sz w:val="20"/>
          <w:szCs w:val="24"/>
        </w:rPr>
        <w:t xml:space="preserve">**Aprašant išorinių sienų ir cokolio šiltinimo priemonę, nurodoma, kad išorinių sienų ir cokolio  šiltinimo darbams turi būti naudojama išorinė termoizoliacinė sistema (statybvietėje vertikalių atitvarų, taip pat horizontalių ar pasvirusių nuo kritulių apsaugotų atitvarų išorėje įrengiama sienų apšiltinimo ir apdailos sistema), kurią turi sudaryti kaip vieno gamintojo statybos produktas rinkai pateiktas statybos produktų rinkinys (komplektas), turintis Europos techninį įvertinimą  ir paženklintas CE ženklu, arba (netaikoma išorinėms tinkuojamoms sudėtinėms termoizoliacinėms sistemoms)</w:t>
      </w:r>
      <w:r>
        <w:rPr>
          <w:rFonts w:eastAsia="Calibri"/>
          <w:b/>
          <w:sz w:val="20"/>
          <w:szCs w:val="24"/>
        </w:rPr>
        <w:t xml:space="preserve"> </w:t>
      </w:r>
      <w:r>
        <w:rPr>
          <w:rFonts w:eastAsia="Calibri"/>
          <w:sz w:val="20"/>
          <w:szCs w:val="24"/>
        </w:rPr>
        <w:t>šis rinkinys (komplektas), turintis nacionalinį techninį įvertinimą, arba (netaikoma išorinėms tinkuojamoms sudėtinėms termoizoliacinėms sistemoms)</w:t>
      </w:r>
      <w:r>
        <w:rPr>
          <w:rFonts w:eastAsia="Calibri"/>
          <w:b/>
          <w:sz w:val="20"/>
          <w:szCs w:val="24"/>
        </w:rPr>
        <w:t xml:space="preserve"> </w:t>
      </w:r>
      <w:r>
        <w:rPr>
          <w:rFonts w:eastAsia="Calibri"/>
          <w:sz w:val="20"/>
          <w:szCs w:val="24"/>
        </w:rPr>
        <w:t>minėtos sistemos turi būti suprojektuotos naudojant atskirus nustatyta tvarka CE ženklu ženklinamus statybos produktus.</w:t>
      </w:r>
      <w:r>
        <w:rPr>
          <w:sz w:val="20"/>
        </w:rPr>
        <w:t xml:space="preserve"> </w:t>
      </w:r>
    </w:p>
    <w:p>
      <w:pPr>
        <w:pStyle w:val="PlainText"/>
        <w:rPr>
          <w:rFonts w:ascii="Times New Roman" w:eastAsia="MS Mincho" w:hAnsi="Times New Roman"/>
          <w:sz w:val="20"/>
          <w:i/>
          <w:iCs/>
        </w:rPr>
      </w:pPr>
      <w:r>
        <w:rPr>
          <w:rFonts w:ascii="Times New Roman" w:eastAsia="MS Mincho" w:hAnsi="Times New Roman"/>
          <w:sz w:val="20"/>
          <w:i/>
          <w:iCs/>
        </w:rPr>
        <w:t>Papildyta pastraipa:</w:t>
      </w:r>
    </w:p>
    <w:p>
      <w:pPr>
        <w:pStyle w:val="PlainText"/>
        <w:jc w:val="both"/>
        <w:rPr>
          <w:rFonts w:ascii="Times New Roman" w:eastAsia="MS Mincho" w:hAnsi="Times New Roman"/>
          <w:sz w:val="20"/>
          <w:i/>
          <w:iCs/>
        </w:rPr>
      </w:pPr>
      <w:r>
        <w:rPr>
          <w:rFonts w:ascii="Times New Roman" w:eastAsia="MS Mincho" w:hAnsi="Times New Roman"/>
          <w:sz w:val="20"/>
          <w:i/>
          <w:iCs/>
        </w:rPr>
        <w:t xml:space="preserve">Nr. </w:t>
      </w:r>
      <w:fldSimple w:instr="HYPERLINK https://www.e-tar.lt/portal/legalAct.html?documentId=c3dc8760fa1f11e8a969c20aa4d38bd4">
        <w:r w:rsidRPr="00532B9F">
          <w:rPr>
            <w:rFonts w:ascii="Times New Roman" w:eastAsia="MS Mincho" w:hAnsi="Times New Roman"/>
            <w:sz w:val="20"/>
            <w:i/>
            <w:iCs/>
            <w:color w:val="0000FF" w:themeColor="hyperlink"/>
            <w:u w:val="single"/>
          </w:rPr>
          <w:t>D1-1073</w:t>
        </w:r>
      </w:fldSimple>
      <w:r>
        <w:rPr>
          <w:rFonts w:ascii="Times New Roman" w:eastAsia="MS Mincho" w:hAnsi="Times New Roman"/>
          <w:sz w:val="20"/>
          <w:i/>
          <w:iCs/>
        </w:rPr>
        <w:t>,
2018-12-07,
paskelbta TAR 2018-12-07, i. k. 2018-20118        </w:t>
      </w:r>
    </w:p>
    <w:p/>
    <w:p>
      <w:pPr>
        <w:shd w:val="clear" w:color="000000" w:fill="auto"/>
        <w:ind w:firstLine="709"/>
        <w:rPr>
          <w:b/>
          <w:bCs/>
          <w:szCs w:val="24"/>
        </w:rPr>
      </w:pPr>
      <w:r>
        <w:rPr>
          <w:b/>
          <w:bCs/>
        </w:rPr>
        <w:t>6</w:t>
      </w:r>
      <w:r>
        <w:rPr>
          <w:b/>
          <w:bCs/>
        </w:rPr>
        <w:t>. Numatomų įgyvendinti namo atnaujinimo (modernizavimo) priemonių suminio energinio naudingumo nustatymas</w:t>
      </w:r>
    </w:p>
    <w:p>
      <w:pPr>
        <w:shd w:val="clear" w:color="000000" w:fill="auto"/>
        <w:ind w:firstLine="709"/>
        <w:rPr>
          <w:bCs/>
        </w:rPr>
      </w:pPr>
      <w:r>
        <w:rPr>
          <w:bCs/>
        </w:rPr>
        <w:t>(</w:t>
      </w:r>
      <w:r>
        <w:rPr>
          <w:bCs/>
          <w:i/>
        </w:rPr>
        <w:t>Rodikliai nustatomi vadovaujantis Tvarkos aprašo 14 punktu</w:t>
      </w:r>
      <w:r>
        <w:rPr>
          <w:bCs/>
        </w:rPr>
        <w:t>).</w:t>
      </w:r>
    </w:p>
    <w:p>
      <w:pPr>
        <w:ind w:firstLine="8080"/>
      </w:pPr>
      <w:r>
        <w:t>5</w:t>
      </w:r>
      <w:r>
        <w:t xml:space="preserve"> lentelė</w:t>
      </w:r>
    </w:p>
    <w:p>
      <w:pPr>
        <w:ind w:firstLine="8080"/>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6"/>
        <w:gridCol w:w="3264"/>
        <w:gridCol w:w="1690"/>
        <w:gridCol w:w="1874"/>
        <w:gridCol w:w="2055"/>
      </w:tblGrid>
      <w:tr>
        <w:tc>
          <w:tcPr>
            <w:tcW w:w="756" w:type="dxa"/>
            <w:vMerge w:val="restart"/>
            <w:tcBorders>
              <w:top w:val="single" w:sz="4" w:space="0" w:color="auto"/>
              <w:left w:val="single" w:sz="4" w:space="0" w:color="auto"/>
              <w:bottom w:val="single" w:sz="4" w:space="0" w:color="auto"/>
              <w:right w:val="single" w:sz="4" w:space="0" w:color="auto"/>
            </w:tcBorders>
            <w:vAlign w:val="center"/>
            <w:hideMark/>
          </w:tcPr>
          <w:p>
            <w:pPr>
              <w:jc w:val="center"/>
              <w:rPr>
                <w:sz w:val="20"/>
              </w:rPr>
            </w:pPr>
            <w:r>
              <w:rPr>
                <w:sz w:val="20"/>
              </w:rPr>
              <w:t>Eil. Nr.</w:t>
            </w:r>
          </w:p>
        </w:tc>
        <w:tc>
          <w:tcPr>
            <w:tcW w:w="3264" w:type="dxa"/>
            <w:vMerge w:val="restart"/>
            <w:tcBorders>
              <w:top w:val="single" w:sz="4" w:space="0" w:color="auto"/>
              <w:left w:val="single" w:sz="4" w:space="0" w:color="auto"/>
              <w:bottom w:val="single" w:sz="4" w:space="0" w:color="auto"/>
              <w:right w:val="single" w:sz="4" w:space="0" w:color="auto"/>
            </w:tcBorders>
            <w:vAlign w:val="center"/>
            <w:hideMark/>
          </w:tcPr>
          <w:p>
            <w:pPr>
              <w:jc w:val="center"/>
              <w:rPr>
                <w:sz w:val="20"/>
              </w:rPr>
            </w:pPr>
            <w:r>
              <w:rPr>
                <w:sz w:val="20"/>
              </w:rPr>
              <w:t>Rodikliai</w:t>
            </w:r>
          </w:p>
        </w:tc>
        <w:tc>
          <w:tcPr>
            <w:tcW w:w="1690" w:type="dxa"/>
            <w:vMerge w:val="restart"/>
            <w:tcBorders>
              <w:top w:val="single" w:sz="4" w:space="0" w:color="auto"/>
              <w:left w:val="single" w:sz="4" w:space="0" w:color="auto"/>
              <w:bottom w:val="single" w:sz="4" w:space="0" w:color="auto"/>
              <w:right w:val="single" w:sz="4" w:space="0" w:color="auto"/>
            </w:tcBorders>
            <w:vAlign w:val="center"/>
            <w:hideMark/>
          </w:tcPr>
          <w:p>
            <w:pPr>
              <w:jc w:val="center"/>
              <w:rPr>
                <w:sz w:val="20"/>
              </w:rPr>
            </w:pPr>
            <w:r>
              <w:rPr>
                <w:sz w:val="20"/>
              </w:rPr>
              <w:t>Mato vnt.</w:t>
            </w:r>
          </w:p>
        </w:tc>
        <w:tc>
          <w:tcPr>
            <w:tcW w:w="3929" w:type="dxa"/>
            <w:gridSpan w:val="2"/>
            <w:tcBorders>
              <w:top w:val="single" w:sz="4" w:space="0" w:color="auto"/>
              <w:left w:val="single" w:sz="4" w:space="0" w:color="auto"/>
              <w:bottom w:val="single" w:sz="4" w:space="0" w:color="auto"/>
              <w:right w:val="single" w:sz="4" w:space="0" w:color="auto"/>
            </w:tcBorders>
            <w:vAlign w:val="center"/>
            <w:hideMark/>
          </w:tcPr>
          <w:p>
            <w:pPr>
              <w:jc w:val="center"/>
              <w:rPr>
                <w:sz w:val="20"/>
              </w:rPr>
            </w:pPr>
            <w:r>
              <w:rPr>
                <w:sz w:val="20"/>
              </w:rPr>
              <w:t>Kiekis</w:t>
            </w:r>
          </w:p>
        </w:tc>
      </w:tr>
      <w:tr>
        <w:tc>
          <w:tcPr>
            <w:tcW w:w="0" w:type="auto"/>
            <w:vMerge/>
            <w:tcBorders>
              <w:top w:val="single" w:sz="4" w:space="0" w:color="auto"/>
              <w:left w:val="single" w:sz="4" w:space="0" w:color="auto"/>
              <w:bottom w:val="single" w:sz="4" w:space="0" w:color="auto"/>
              <w:right w:val="single" w:sz="4" w:space="0" w:color="auto"/>
            </w:tcBorders>
            <w:vAlign w:val="center"/>
            <w:hideMark/>
          </w:tcPr>
          <w:p>
            <w:pPr>
              <w:rPr>
                <w:sz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pPr>
              <w:rPr>
                <w:sz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pPr>
              <w:rPr>
                <w:sz w:val="20"/>
              </w:rPr>
            </w:pPr>
          </w:p>
        </w:tc>
        <w:tc>
          <w:tcPr>
            <w:tcW w:w="1874" w:type="dxa"/>
            <w:tcBorders>
              <w:top w:val="single" w:sz="4" w:space="0" w:color="auto"/>
              <w:left w:val="single" w:sz="4" w:space="0" w:color="auto"/>
              <w:bottom w:val="single" w:sz="4" w:space="0" w:color="auto"/>
              <w:right w:val="single" w:sz="4" w:space="0" w:color="auto"/>
            </w:tcBorders>
            <w:vAlign w:val="center"/>
            <w:hideMark/>
          </w:tcPr>
          <w:p>
            <w:pPr>
              <w:jc w:val="center"/>
              <w:rPr>
                <w:sz w:val="20"/>
              </w:rPr>
            </w:pPr>
            <w:r>
              <w:rPr>
                <w:sz w:val="20"/>
              </w:rPr>
              <w:t>Esama padėtis</w:t>
            </w:r>
          </w:p>
        </w:tc>
        <w:tc>
          <w:tcPr>
            <w:tcW w:w="2055" w:type="dxa"/>
            <w:tcBorders>
              <w:top w:val="single" w:sz="4" w:space="0" w:color="auto"/>
              <w:left w:val="single" w:sz="4" w:space="0" w:color="auto"/>
              <w:bottom w:val="single" w:sz="4" w:space="0" w:color="auto"/>
              <w:right w:val="single" w:sz="4" w:space="0" w:color="auto"/>
            </w:tcBorders>
            <w:vAlign w:val="center"/>
            <w:hideMark/>
          </w:tcPr>
          <w:p>
            <w:pPr>
              <w:jc w:val="center"/>
              <w:rPr>
                <w:sz w:val="20"/>
              </w:rPr>
            </w:pPr>
            <w:r>
              <w:rPr>
                <w:sz w:val="20"/>
              </w:rPr>
              <w:t>Planuojama</w:t>
            </w:r>
          </w:p>
        </w:tc>
      </w:tr>
      <w:tr>
        <w:tc>
          <w:tcPr>
            <w:tcW w:w="756" w:type="dxa"/>
            <w:tcBorders>
              <w:top w:val="single" w:sz="4" w:space="0" w:color="auto"/>
              <w:left w:val="single" w:sz="4" w:space="0" w:color="auto"/>
              <w:bottom w:val="single" w:sz="4" w:space="0" w:color="auto"/>
              <w:right w:val="single" w:sz="4" w:space="0" w:color="auto"/>
            </w:tcBorders>
            <w:hideMark/>
          </w:tcPr>
          <w:p>
            <w:pPr>
              <w:jc w:val="center"/>
              <w:rPr>
                <w:sz w:val="20"/>
              </w:rPr>
            </w:pPr>
            <w:r>
              <w:rPr>
                <w:sz w:val="20"/>
              </w:rPr>
              <w:t>1</w:t>
            </w:r>
          </w:p>
        </w:tc>
        <w:tc>
          <w:tcPr>
            <w:tcW w:w="3264" w:type="dxa"/>
            <w:tcBorders>
              <w:top w:val="single" w:sz="4" w:space="0" w:color="auto"/>
              <w:left w:val="single" w:sz="4" w:space="0" w:color="auto"/>
              <w:bottom w:val="single" w:sz="4" w:space="0" w:color="auto"/>
              <w:right w:val="single" w:sz="4" w:space="0" w:color="auto"/>
            </w:tcBorders>
            <w:hideMark/>
          </w:tcPr>
          <w:p>
            <w:pPr>
              <w:jc w:val="center"/>
              <w:rPr>
                <w:sz w:val="20"/>
              </w:rPr>
            </w:pPr>
            <w:r>
              <w:rPr>
                <w:sz w:val="20"/>
              </w:rPr>
              <w:t>2</w:t>
            </w:r>
          </w:p>
        </w:tc>
        <w:tc>
          <w:tcPr>
            <w:tcW w:w="1690" w:type="dxa"/>
            <w:tcBorders>
              <w:top w:val="single" w:sz="4" w:space="0" w:color="auto"/>
              <w:left w:val="single" w:sz="4" w:space="0" w:color="auto"/>
              <w:bottom w:val="single" w:sz="4" w:space="0" w:color="auto"/>
              <w:right w:val="single" w:sz="4" w:space="0" w:color="auto"/>
            </w:tcBorders>
            <w:hideMark/>
          </w:tcPr>
          <w:p>
            <w:pPr>
              <w:jc w:val="center"/>
              <w:rPr>
                <w:sz w:val="20"/>
              </w:rPr>
            </w:pPr>
            <w:r>
              <w:rPr>
                <w:sz w:val="20"/>
              </w:rPr>
              <w:t>3</w:t>
            </w:r>
          </w:p>
        </w:tc>
        <w:tc>
          <w:tcPr>
            <w:tcW w:w="1874" w:type="dxa"/>
            <w:tcBorders>
              <w:top w:val="single" w:sz="4" w:space="0" w:color="auto"/>
              <w:left w:val="single" w:sz="4" w:space="0" w:color="auto"/>
              <w:bottom w:val="single" w:sz="4" w:space="0" w:color="auto"/>
              <w:right w:val="single" w:sz="4" w:space="0" w:color="auto"/>
            </w:tcBorders>
            <w:hideMark/>
          </w:tcPr>
          <w:p>
            <w:pPr>
              <w:jc w:val="center"/>
              <w:rPr>
                <w:sz w:val="20"/>
              </w:rPr>
            </w:pPr>
            <w:r>
              <w:rPr>
                <w:sz w:val="20"/>
              </w:rPr>
              <w:t>4</w:t>
            </w:r>
          </w:p>
        </w:tc>
        <w:tc>
          <w:tcPr>
            <w:tcW w:w="2055" w:type="dxa"/>
            <w:tcBorders>
              <w:top w:val="single" w:sz="4" w:space="0" w:color="auto"/>
              <w:left w:val="single" w:sz="4" w:space="0" w:color="auto"/>
              <w:bottom w:val="single" w:sz="4" w:space="0" w:color="auto"/>
              <w:right w:val="single" w:sz="4" w:space="0" w:color="auto"/>
            </w:tcBorders>
            <w:hideMark/>
          </w:tcPr>
          <w:p>
            <w:pPr>
              <w:jc w:val="center"/>
              <w:rPr>
                <w:sz w:val="20"/>
              </w:rPr>
            </w:pPr>
            <w:r>
              <w:rPr>
                <w:sz w:val="20"/>
              </w:rPr>
              <w:t>5</w:t>
            </w:r>
          </w:p>
        </w:tc>
      </w:tr>
      <w:tr>
        <w:tc>
          <w:tcPr>
            <w:tcW w:w="9639" w:type="dxa"/>
            <w:gridSpan w:val="5"/>
            <w:tcBorders>
              <w:top w:val="single" w:sz="4" w:space="0" w:color="auto"/>
              <w:left w:val="single" w:sz="4" w:space="0" w:color="auto"/>
              <w:bottom w:val="single" w:sz="4" w:space="0" w:color="auto"/>
              <w:right w:val="single" w:sz="4" w:space="0" w:color="auto"/>
            </w:tcBorders>
            <w:hideMark/>
          </w:tcPr>
          <w:p>
            <w:pPr>
              <w:rPr>
                <w:sz w:val="20"/>
              </w:rPr>
            </w:pPr>
            <w:r>
              <w:rPr>
                <w:sz w:val="20"/>
              </w:rPr>
              <w:t>PROJEKTO RODIKLIAI</w:t>
            </w:r>
          </w:p>
        </w:tc>
      </w:tr>
      <w:tr>
        <w:tc>
          <w:tcPr>
            <w:tcW w:w="756" w:type="dxa"/>
            <w:tcBorders>
              <w:top w:val="single" w:sz="4" w:space="0" w:color="auto"/>
              <w:left w:val="single" w:sz="4" w:space="0" w:color="auto"/>
              <w:bottom w:val="single" w:sz="4" w:space="0" w:color="auto"/>
              <w:right w:val="single" w:sz="4" w:space="0" w:color="auto"/>
            </w:tcBorders>
            <w:hideMark/>
          </w:tcPr>
          <w:p>
            <w:pPr>
              <w:rPr>
                <w:sz w:val="20"/>
              </w:rPr>
            </w:pPr>
            <w:r>
              <w:rPr>
                <w:sz w:val="20"/>
              </w:rPr>
              <w:t>6.1.</w:t>
            </w:r>
          </w:p>
        </w:tc>
        <w:tc>
          <w:tcPr>
            <w:tcW w:w="3264" w:type="dxa"/>
            <w:tcBorders>
              <w:top w:val="single" w:sz="4" w:space="0" w:color="auto"/>
              <w:left w:val="single" w:sz="4" w:space="0" w:color="auto"/>
              <w:bottom w:val="single" w:sz="4" w:space="0" w:color="auto"/>
              <w:right w:val="single" w:sz="4" w:space="0" w:color="auto"/>
            </w:tcBorders>
            <w:hideMark/>
          </w:tcPr>
          <w:p>
            <w:pPr>
              <w:rPr>
                <w:sz w:val="20"/>
              </w:rPr>
            </w:pPr>
            <w:r>
              <w:rPr>
                <w:sz w:val="20"/>
              </w:rPr>
              <w:t>pastato energinio naudingumo klasė</w:t>
            </w:r>
          </w:p>
        </w:tc>
        <w:tc>
          <w:tcPr>
            <w:tcW w:w="1690" w:type="dxa"/>
            <w:tcBorders>
              <w:top w:val="single" w:sz="4" w:space="0" w:color="auto"/>
              <w:left w:val="single" w:sz="4" w:space="0" w:color="auto"/>
              <w:bottom w:val="single" w:sz="4" w:space="0" w:color="auto"/>
              <w:right w:val="single" w:sz="4" w:space="0" w:color="auto"/>
            </w:tcBorders>
            <w:hideMark/>
          </w:tcPr>
          <w:p>
            <w:pPr>
              <w:rPr>
                <w:sz w:val="20"/>
              </w:rPr>
            </w:pPr>
            <w:r>
              <w:rPr>
                <w:sz w:val="20"/>
              </w:rPr>
              <w:t>klasė</w:t>
            </w:r>
          </w:p>
        </w:tc>
        <w:tc>
          <w:tcPr>
            <w:tcW w:w="1874" w:type="dxa"/>
            <w:tcBorders>
              <w:top w:val="single" w:sz="4" w:space="0" w:color="auto"/>
              <w:left w:val="single" w:sz="4" w:space="0" w:color="auto"/>
              <w:bottom w:val="single" w:sz="4" w:space="0" w:color="auto"/>
              <w:right w:val="single" w:sz="4" w:space="0" w:color="auto"/>
            </w:tcBorders>
          </w:tcPr>
          <w:p>
            <w:pPr>
              <w:rPr>
                <w:sz w:val="20"/>
              </w:rPr>
            </w:pPr>
          </w:p>
        </w:tc>
        <w:tc>
          <w:tcPr>
            <w:tcW w:w="2055" w:type="dxa"/>
            <w:tcBorders>
              <w:top w:val="single" w:sz="4" w:space="0" w:color="auto"/>
              <w:left w:val="single" w:sz="4" w:space="0" w:color="auto"/>
              <w:bottom w:val="single" w:sz="4" w:space="0" w:color="auto"/>
              <w:right w:val="single" w:sz="4" w:space="0" w:color="auto"/>
            </w:tcBorders>
          </w:tcPr>
          <w:p>
            <w:pPr>
              <w:rPr>
                <w:sz w:val="20"/>
              </w:rPr>
            </w:pPr>
          </w:p>
        </w:tc>
      </w:tr>
      <w:tr>
        <w:tc>
          <w:tcPr>
            <w:tcW w:w="756" w:type="dxa"/>
            <w:tcBorders>
              <w:top w:val="single" w:sz="4" w:space="0" w:color="auto"/>
              <w:left w:val="single" w:sz="4" w:space="0" w:color="auto"/>
              <w:bottom w:val="single" w:sz="4" w:space="0" w:color="auto"/>
              <w:right w:val="single" w:sz="4" w:space="0" w:color="auto"/>
            </w:tcBorders>
            <w:hideMark/>
          </w:tcPr>
          <w:p>
            <w:pPr>
              <w:rPr>
                <w:sz w:val="20"/>
              </w:rPr>
            </w:pPr>
            <w:r>
              <w:rPr>
                <w:sz w:val="20"/>
              </w:rPr>
              <w:t>6.2.</w:t>
            </w:r>
          </w:p>
        </w:tc>
        <w:tc>
          <w:tcPr>
            <w:tcW w:w="3264" w:type="dxa"/>
            <w:tcBorders>
              <w:top w:val="single" w:sz="4" w:space="0" w:color="auto"/>
              <w:left w:val="single" w:sz="4" w:space="0" w:color="auto"/>
              <w:bottom w:val="single" w:sz="4" w:space="0" w:color="auto"/>
              <w:right w:val="single" w:sz="4" w:space="0" w:color="auto"/>
            </w:tcBorders>
            <w:hideMark/>
          </w:tcPr>
          <w:p>
            <w:pPr>
              <w:rPr>
                <w:sz w:val="20"/>
              </w:rPr>
            </w:pPr>
            <w:r>
              <w:rPr>
                <w:sz w:val="20"/>
              </w:rPr>
              <w:t>skaičiuojamosios šiluminės energijos sąnaudos patalpų šildymui</w:t>
            </w:r>
            <w:r>
              <w:rPr>
                <w:b/>
                <w:sz w:val="20"/>
              </w:rPr>
              <w:t xml:space="preserve"> </w:t>
            </w:r>
            <w:r>
              <w:rPr>
                <w:sz w:val="20"/>
              </w:rPr>
              <w:t>ir karštam vandeniui ruošti,</w:t>
            </w:r>
          </w:p>
          <w:p>
            <w:pPr>
              <w:rPr>
                <w:sz w:val="20"/>
              </w:rPr>
            </w:pPr>
            <w:r>
              <w:rPr>
                <w:sz w:val="20"/>
              </w:rPr>
              <w:t>iš jų pagal energiją taupančias priemones:</w:t>
            </w:r>
          </w:p>
        </w:tc>
        <w:tc>
          <w:tcPr>
            <w:tcW w:w="1690" w:type="dxa"/>
            <w:tcBorders>
              <w:top w:val="single" w:sz="4" w:space="0" w:color="auto"/>
              <w:left w:val="single" w:sz="4" w:space="0" w:color="auto"/>
              <w:bottom w:val="single" w:sz="4" w:space="0" w:color="auto"/>
              <w:right w:val="single" w:sz="4" w:space="0" w:color="auto"/>
            </w:tcBorders>
            <w:hideMark/>
          </w:tcPr>
          <w:p>
            <w:pPr>
              <w:rPr>
                <w:sz w:val="20"/>
                <w:u w:val="single"/>
              </w:rPr>
            </w:pPr>
            <w:r>
              <w:rPr>
                <w:sz w:val="20"/>
                <w:u w:val="single"/>
              </w:rPr>
              <w:t>kWh/metus</w:t>
            </w:r>
          </w:p>
          <w:p>
            <w:pPr>
              <w:rPr>
                <w:sz w:val="20"/>
              </w:rPr>
            </w:pPr>
            <w:r>
              <w:rPr>
                <w:sz w:val="20"/>
              </w:rPr>
              <w:t>kWh/m</w:t>
            </w:r>
            <w:r>
              <w:rPr>
                <w:sz w:val="20"/>
                <w:vertAlign w:val="superscript"/>
              </w:rPr>
              <w:t>2</w:t>
            </w:r>
            <w:r>
              <w:rPr>
                <w:sz w:val="20"/>
              </w:rPr>
              <w:t>/metus</w:t>
            </w:r>
          </w:p>
        </w:tc>
        <w:tc>
          <w:tcPr>
            <w:tcW w:w="1874" w:type="dxa"/>
            <w:tcBorders>
              <w:top w:val="single" w:sz="4" w:space="0" w:color="auto"/>
              <w:left w:val="single" w:sz="4" w:space="0" w:color="auto"/>
              <w:bottom w:val="single" w:sz="4" w:space="0" w:color="auto"/>
              <w:right w:val="single" w:sz="4" w:space="0" w:color="auto"/>
            </w:tcBorders>
          </w:tcPr>
          <w:p>
            <w:pPr>
              <w:rPr>
                <w:sz w:val="20"/>
              </w:rPr>
            </w:pPr>
          </w:p>
        </w:tc>
        <w:tc>
          <w:tcPr>
            <w:tcW w:w="2055" w:type="dxa"/>
            <w:tcBorders>
              <w:top w:val="single" w:sz="4" w:space="0" w:color="auto"/>
              <w:left w:val="single" w:sz="4" w:space="0" w:color="auto"/>
              <w:bottom w:val="single" w:sz="4" w:space="0" w:color="auto"/>
              <w:right w:val="single" w:sz="4" w:space="0" w:color="auto"/>
            </w:tcBorders>
          </w:tcPr>
          <w:p>
            <w:pPr>
              <w:rPr>
                <w:sz w:val="20"/>
              </w:rPr>
            </w:pPr>
          </w:p>
        </w:tc>
      </w:tr>
      <w:tr>
        <w:tc>
          <w:tcPr>
            <w:tcW w:w="756" w:type="dxa"/>
            <w:tcBorders>
              <w:top w:val="single" w:sz="4" w:space="0" w:color="auto"/>
              <w:left w:val="single" w:sz="4" w:space="0" w:color="auto"/>
              <w:bottom w:val="single" w:sz="4" w:space="0" w:color="auto"/>
              <w:right w:val="single" w:sz="4" w:space="0" w:color="auto"/>
            </w:tcBorders>
            <w:hideMark/>
          </w:tcPr>
          <w:p>
            <w:pPr>
              <w:rPr>
                <w:sz w:val="20"/>
              </w:rPr>
            </w:pPr>
            <w:r>
              <w:rPr>
                <w:sz w:val="20"/>
              </w:rPr>
              <w:t>6.2.1.</w:t>
            </w:r>
          </w:p>
          <w:p>
            <w:pPr>
              <w:rPr>
                <w:sz w:val="20"/>
              </w:rPr>
            </w:pPr>
            <w:r>
              <w:rPr>
                <w:sz w:val="20"/>
              </w:rPr>
              <w:t>6.2.2.</w:t>
            </w:r>
          </w:p>
          <w:p>
            <w:pPr>
              <w:rPr>
                <w:sz w:val="20"/>
              </w:rPr>
            </w:pPr>
            <w:r>
              <w:rPr>
                <w:sz w:val="20"/>
              </w:rPr>
              <w:t>6.2.3.</w:t>
            </w:r>
          </w:p>
        </w:tc>
        <w:tc>
          <w:tcPr>
            <w:tcW w:w="3264" w:type="dxa"/>
            <w:tcBorders>
              <w:top w:val="single" w:sz="4" w:space="0" w:color="auto"/>
              <w:left w:val="single" w:sz="4" w:space="0" w:color="auto"/>
              <w:bottom w:val="single" w:sz="4" w:space="0" w:color="auto"/>
              <w:right w:val="single" w:sz="4" w:space="0" w:color="auto"/>
            </w:tcBorders>
            <w:hideMark/>
          </w:tcPr>
          <w:p>
            <w:pPr>
              <w:rPr>
                <w:sz w:val="20"/>
              </w:rPr>
            </w:pPr>
            <w:r>
              <w:rPr>
                <w:sz w:val="20"/>
              </w:rPr>
              <w:t>patalpų langų keitimas,</w:t>
            </w:r>
          </w:p>
          <w:p>
            <w:pPr>
              <w:rPr>
                <w:sz w:val="20"/>
              </w:rPr>
            </w:pPr>
            <w:r>
              <w:rPr>
                <w:sz w:val="20"/>
              </w:rPr>
              <w:t>išorinių sienų šiltinimas,</w:t>
            </w:r>
          </w:p>
          <w:p>
            <w:pPr>
              <w:rPr>
                <w:sz w:val="20"/>
              </w:rPr>
            </w:pPr>
            <w:r>
              <w:rPr>
                <w:sz w:val="20"/>
              </w:rPr>
              <w:t>ir t. t.</w:t>
            </w:r>
          </w:p>
        </w:tc>
        <w:tc>
          <w:tcPr>
            <w:tcW w:w="1690" w:type="dxa"/>
            <w:tcBorders>
              <w:top w:val="single" w:sz="4" w:space="0" w:color="auto"/>
              <w:left w:val="single" w:sz="4" w:space="0" w:color="auto"/>
              <w:bottom w:val="single" w:sz="4" w:space="0" w:color="auto"/>
              <w:right w:val="single" w:sz="4" w:space="0" w:color="auto"/>
            </w:tcBorders>
          </w:tcPr>
          <w:p>
            <w:pPr>
              <w:rPr>
                <w:sz w:val="20"/>
              </w:rPr>
            </w:pPr>
          </w:p>
        </w:tc>
        <w:tc>
          <w:tcPr>
            <w:tcW w:w="1874" w:type="dxa"/>
            <w:tcBorders>
              <w:top w:val="single" w:sz="4" w:space="0" w:color="auto"/>
              <w:left w:val="single" w:sz="4" w:space="0" w:color="auto"/>
              <w:bottom w:val="single" w:sz="4" w:space="0" w:color="auto"/>
              <w:right w:val="single" w:sz="4" w:space="0" w:color="auto"/>
            </w:tcBorders>
          </w:tcPr>
          <w:p>
            <w:pPr>
              <w:rPr>
                <w:sz w:val="20"/>
              </w:rPr>
            </w:pPr>
          </w:p>
        </w:tc>
        <w:tc>
          <w:tcPr>
            <w:tcW w:w="2055" w:type="dxa"/>
            <w:tcBorders>
              <w:top w:val="single" w:sz="4" w:space="0" w:color="auto"/>
              <w:left w:val="single" w:sz="4" w:space="0" w:color="auto"/>
              <w:bottom w:val="single" w:sz="4" w:space="0" w:color="auto"/>
              <w:right w:val="single" w:sz="4" w:space="0" w:color="auto"/>
            </w:tcBorders>
          </w:tcPr>
          <w:p>
            <w:pPr>
              <w:rPr>
                <w:sz w:val="20"/>
              </w:rPr>
            </w:pPr>
          </w:p>
        </w:tc>
      </w:tr>
      <w:tr>
        <w:tc>
          <w:tcPr>
            <w:tcW w:w="756" w:type="dxa"/>
            <w:tcBorders>
              <w:top w:val="single" w:sz="4" w:space="0" w:color="auto"/>
              <w:left w:val="single" w:sz="4" w:space="0" w:color="auto"/>
              <w:bottom w:val="single" w:sz="4" w:space="0" w:color="auto"/>
              <w:right w:val="single" w:sz="4" w:space="0" w:color="auto"/>
            </w:tcBorders>
            <w:hideMark/>
          </w:tcPr>
          <w:p>
            <w:pPr>
              <w:rPr>
                <w:sz w:val="20"/>
              </w:rPr>
            </w:pPr>
            <w:r>
              <w:rPr>
                <w:sz w:val="20"/>
              </w:rPr>
              <w:t>6.3.</w:t>
            </w:r>
          </w:p>
        </w:tc>
        <w:tc>
          <w:tcPr>
            <w:tcW w:w="3264" w:type="dxa"/>
            <w:tcBorders>
              <w:top w:val="single" w:sz="4" w:space="0" w:color="auto"/>
              <w:left w:val="single" w:sz="4" w:space="0" w:color="auto"/>
              <w:bottom w:val="single" w:sz="4" w:space="0" w:color="auto"/>
              <w:right w:val="single" w:sz="4" w:space="0" w:color="auto"/>
            </w:tcBorders>
            <w:hideMark/>
          </w:tcPr>
          <w:p>
            <w:pPr>
              <w:rPr>
                <w:b/>
                <w:sz w:val="20"/>
              </w:rPr>
            </w:pPr>
            <w:r>
              <w:rPr>
                <w:sz w:val="20"/>
              </w:rPr>
              <w:t>skaičiuojamųjų šiluminės energijos sąnaudų patalpų šildymui ir karštam vandeniui ruošti</w:t>
            </w:r>
            <w:r>
              <w:rPr>
                <w:b/>
                <w:sz w:val="20"/>
              </w:rPr>
              <w:t xml:space="preserve"> </w:t>
            </w:r>
            <w:r>
              <w:rPr>
                <w:sz w:val="20"/>
              </w:rPr>
              <w:t>sumažėjimas, palyginti su esamos padėties duomenimis</w:t>
            </w:r>
          </w:p>
        </w:tc>
        <w:tc>
          <w:tcPr>
            <w:tcW w:w="1690" w:type="dxa"/>
            <w:tcBorders>
              <w:top w:val="single" w:sz="4" w:space="0" w:color="auto"/>
              <w:left w:val="single" w:sz="4" w:space="0" w:color="auto"/>
              <w:bottom w:val="single" w:sz="4" w:space="0" w:color="auto"/>
              <w:right w:val="single" w:sz="4" w:space="0" w:color="auto"/>
            </w:tcBorders>
            <w:hideMark/>
          </w:tcPr>
          <w:p>
            <w:pPr>
              <w:rPr>
                <w:sz w:val="20"/>
              </w:rPr>
            </w:pPr>
            <w:r>
              <w:rPr>
                <w:sz w:val="20"/>
              </w:rPr>
              <w:t>procentais</w:t>
            </w:r>
          </w:p>
        </w:tc>
        <w:tc>
          <w:tcPr>
            <w:tcW w:w="1874" w:type="dxa"/>
            <w:tcBorders>
              <w:top w:val="single" w:sz="4" w:space="0" w:color="auto"/>
              <w:left w:val="single" w:sz="4" w:space="0" w:color="auto"/>
              <w:bottom w:val="single" w:sz="4" w:space="0" w:color="auto"/>
              <w:right w:val="single" w:sz="4" w:space="0" w:color="auto"/>
            </w:tcBorders>
            <w:vAlign w:val="center"/>
            <w:hideMark/>
          </w:tcPr>
          <w:p>
            <w:pPr>
              <w:rPr>
                <w:sz w:val="20"/>
              </w:rPr>
            </w:pPr>
            <w:r>
              <w:rPr>
                <w:sz w:val="20"/>
              </w:rPr>
              <w:t>--</w:t>
            </w:r>
          </w:p>
        </w:tc>
        <w:tc>
          <w:tcPr>
            <w:tcW w:w="2055" w:type="dxa"/>
            <w:tcBorders>
              <w:top w:val="single" w:sz="4" w:space="0" w:color="auto"/>
              <w:left w:val="single" w:sz="4" w:space="0" w:color="auto"/>
              <w:bottom w:val="single" w:sz="4" w:space="0" w:color="auto"/>
              <w:right w:val="single" w:sz="4" w:space="0" w:color="auto"/>
            </w:tcBorders>
          </w:tcPr>
          <w:p>
            <w:pPr>
              <w:rPr>
                <w:sz w:val="20"/>
              </w:rPr>
            </w:pPr>
          </w:p>
        </w:tc>
      </w:tr>
      <w:tr>
        <w:tc>
          <w:tcPr>
            <w:tcW w:w="756" w:type="dxa"/>
            <w:tcBorders>
              <w:top w:val="single" w:sz="4" w:space="0" w:color="auto"/>
              <w:left w:val="single" w:sz="4" w:space="0" w:color="auto"/>
              <w:bottom w:val="single" w:sz="4" w:space="0" w:color="auto"/>
              <w:right w:val="single" w:sz="4" w:space="0" w:color="auto"/>
            </w:tcBorders>
            <w:hideMark/>
          </w:tcPr>
          <w:p>
            <w:pPr>
              <w:rPr>
                <w:sz w:val="20"/>
              </w:rPr>
            </w:pPr>
            <w:r>
              <w:rPr>
                <w:sz w:val="20"/>
              </w:rPr>
              <w:t>6.4.</w:t>
            </w:r>
          </w:p>
        </w:tc>
        <w:tc>
          <w:tcPr>
            <w:tcW w:w="3264" w:type="dxa"/>
            <w:tcBorders>
              <w:top w:val="single" w:sz="4" w:space="0" w:color="auto"/>
              <w:left w:val="single" w:sz="4" w:space="0" w:color="auto"/>
              <w:bottom w:val="single" w:sz="4" w:space="0" w:color="auto"/>
              <w:right w:val="single" w:sz="4" w:space="0" w:color="auto"/>
            </w:tcBorders>
            <w:hideMark/>
          </w:tcPr>
          <w:p>
            <w:pPr>
              <w:rPr>
                <w:sz w:val="20"/>
              </w:rPr>
            </w:pPr>
            <w:r>
              <w:rPr>
                <w:sz w:val="20"/>
              </w:rPr>
              <w:t>išmetamo ŠESD (CO</w:t>
            </w:r>
            <w:r>
              <w:rPr>
                <w:sz w:val="20"/>
                <w:vertAlign w:val="subscript"/>
              </w:rPr>
              <w:t>2</w:t>
            </w:r>
            <w:r>
              <w:rPr>
                <w:sz w:val="20"/>
              </w:rPr>
              <w:t>) kiekio sumažėjimas</w:t>
            </w:r>
          </w:p>
        </w:tc>
        <w:tc>
          <w:tcPr>
            <w:tcW w:w="1690" w:type="dxa"/>
            <w:tcBorders>
              <w:top w:val="single" w:sz="4" w:space="0" w:color="auto"/>
              <w:left w:val="single" w:sz="4" w:space="0" w:color="auto"/>
              <w:bottom w:val="single" w:sz="4" w:space="0" w:color="auto"/>
              <w:right w:val="single" w:sz="4" w:space="0" w:color="auto"/>
            </w:tcBorders>
            <w:hideMark/>
          </w:tcPr>
          <w:p>
            <w:pPr>
              <w:rPr>
                <w:sz w:val="20"/>
              </w:rPr>
            </w:pPr>
            <w:r>
              <w:rPr>
                <w:sz w:val="20"/>
              </w:rPr>
              <w:t>tonų/metus</w:t>
            </w:r>
          </w:p>
        </w:tc>
        <w:tc>
          <w:tcPr>
            <w:tcW w:w="1874" w:type="dxa"/>
            <w:tcBorders>
              <w:top w:val="single" w:sz="4" w:space="0" w:color="auto"/>
              <w:left w:val="single" w:sz="4" w:space="0" w:color="auto"/>
              <w:bottom w:val="single" w:sz="4" w:space="0" w:color="auto"/>
              <w:right w:val="single" w:sz="4" w:space="0" w:color="auto"/>
            </w:tcBorders>
            <w:vAlign w:val="center"/>
            <w:hideMark/>
          </w:tcPr>
          <w:p>
            <w:pPr>
              <w:rPr>
                <w:sz w:val="20"/>
              </w:rPr>
            </w:pPr>
            <w:r>
              <w:rPr>
                <w:sz w:val="20"/>
              </w:rPr>
              <w:t>--</w:t>
            </w:r>
          </w:p>
        </w:tc>
        <w:tc>
          <w:tcPr>
            <w:tcW w:w="2055" w:type="dxa"/>
            <w:tcBorders>
              <w:top w:val="single" w:sz="4" w:space="0" w:color="auto"/>
              <w:left w:val="single" w:sz="4" w:space="0" w:color="auto"/>
              <w:bottom w:val="single" w:sz="4" w:space="0" w:color="auto"/>
              <w:right w:val="single" w:sz="4" w:space="0" w:color="auto"/>
            </w:tcBorders>
          </w:tcPr>
          <w:p>
            <w:pPr>
              <w:rPr>
                <w:sz w:val="20"/>
              </w:rPr>
            </w:pPr>
          </w:p>
        </w:tc>
      </w:tr>
      <w:tr>
        <w:tc>
          <w:tcPr>
            <w:tcW w:w="9639" w:type="dxa"/>
            <w:gridSpan w:val="5"/>
            <w:tcBorders>
              <w:top w:val="single" w:sz="4" w:space="0" w:color="auto"/>
              <w:left w:val="single" w:sz="4" w:space="0" w:color="auto"/>
              <w:bottom w:val="single" w:sz="4" w:space="0" w:color="auto"/>
              <w:right w:val="single" w:sz="4" w:space="0" w:color="auto"/>
            </w:tcBorders>
            <w:hideMark/>
          </w:tcPr>
          <w:p>
            <w:pPr>
              <w:rPr>
                <w:sz w:val="20"/>
              </w:rPr>
            </w:pPr>
            <w:r>
              <w:rPr>
                <w:sz w:val="20"/>
              </w:rPr>
              <w:t>PROJEKTO PIRMOJO ETAPO RODIKLIAI*</w:t>
            </w:r>
          </w:p>
        </w:tc>
      </w:tr>
      <w:tr>
        <w:tc>
          <w:tcPr>
            <w:tcW w:w="756" w:type="dxa"/>
            <w:tcBorders>
              <w:top w:val="single" w:sz="4" w:space="0" w:color="auto"/>
              <w:left w:val="single" w:sz="4" w:space="0" w:color="auto"/>
              <w:bottom w:val="single" w:sz="4" w:space="0" w:color="auto"/>
              <w:right w:val="single" w:sz="4" w:space="0" w:color="auto"/>
            </w:tcBorders>
            <w:hideMark/>
          </w:tcPr>
          <w:p>
            <w:pPr>
              <w:rPr>
                <w:sz w:val="20"/>
              </w:rPr>
            </w:pPr>
            <w:r>
              <w:rPr>
                <w:sz w:val="20"/>
              </w:rPr>
              <w:t>6.5.</w:t>
            </w:r>
          </w:p>
        </w:tc>
        <w:tc>
          <w:tcPr>
            <w:tcW w:w="3264" w:type="dxa"/>
            <w:tcBorders>
              <w:top w:val="single" w:sz="4" w:space="0" w:color="auto"/>
              <w:left w:val="single" w:sz="4" w:space="0" w:color="auto"/>
              <w:bottom w:val="single" w:sz="4" w:space="0" w:color="auto"/>
              <w:right w:val="single" w:sz="4" w:space="0" w:color="auto"/>
            </w:tcBorders>
            <w:hideMark/>
          </w:tcPr>
          <w:p>
            <w:pPr>
              <w:rPr>
                <w:sz w:val="20"/>
              </w:rPr>
            </w:pPr>
            <w:r>
              <w:rPr>
                <w:sz w:val="20"/>
              </w:rPr>
              <w:t>pastato energinio naudingumo klasė, įgyvendinus pirmojo etapo priemones</w:t>
            </w:r>
          </w:p>
        </w:tc>
        <w:tc>
          <w:tcPr>
            <w:tcW w:w="1690" w:type="dxa"/>
            <w:tcBorders>
              <w:top w:val="single" w:sz="4" w:space="0" w:color="auto"/>
              <w:left w:val="single" w:sz="4" w:space="0" w:color="auto"/>
              <w:bottom w:val="single" w:sz="4" w:space="0" w:color="auto"/>
              <w:right w:val="single" w:sz="4" w:space="0" w:color="auto"/>
            </w:tcBorders>
            <w:hideMark/>
          </w:tcPr>
          <w:p>
            <w:pPr>
              <w:rPr>
                <w:sz w:val="20"/>
              </w:rPr>
            </w:pPr>
            <w:r>
              <w:rPr>
                <w:sz w:val="20"/>
              </w:rPr>
              <w:t>klasė</w:t>
            </w:r>
          </w:p>
        </w:tc>
        <w:tc>
          <w:tcPr>
            <w:tcW w:w="1874" w:type="dxa"/>
            <w:tcBorders>
              <w:top w:val="single" w:sz="4" w:space="0" w:color="auto"/>
              <w:left w:val="single" w:sz="4" w:space="0" w:color="auto"/>
              <w:bottom w:val="single" w:sz="4" w:space="0" w:color="auto"/>
              <w:right w:val="single" w:sz="4" w:space="0" w:color="auto"/>
            </w:tcBorders>
            <w:vAlign w:val="center"/>
          </w:tcPr>
          <w:p>
            <w:pPr>
              <w:rPr>
                <w:sz w:val="20"/>
              </w:rPr>
            </w:pPr>
          </w:p>
        </w:tc>
        <w:tc>
          <w:tcPr>
            <w:tcW w:w="2055" w:type="dxa"/>
            <w:tcBorders>
              <w:top w:val="single" w:sz="4" w:space="0" w:color="auto"/>
              <w:left w:val="single" w:sz="4" w:space="0" w:color="auto"/>
              <w:bottom w:val="single" w:sz="4" w:space="0" w:color="auto"/>
              <w:right w:val="single" w:sz="4" w:space="0" w:color="auto"/>
            </w:tcBorders>
            <w:vAlign w:val="center"/>
          </w:tcPr>
          <w:p>
            <w:pPr>
              <w:rPr>
                <w:sz w:val="20"/>
              </w:rPr>
            </w:pPr>
          </w:p>
        </w:tc>
      </w:tr>
      <w:tr>
        <w:tc>
          <w:tcPr>
            <w:tcW w:w="756" w:type="dxa"/>
            <w:tcBorders>
              <w:top w:val="single" w:sz="4" w:space="0" w:color="auto"/>
              <w:left w:val="single" w:sz="4" w:space="0" w:color="auto"/>
              <w:bottom w:val="single" w:sz="4" w:space="0" w:color="auto"/>
              <w:right w:val="single" w:sz="4" w:space="0" w:color="auto"/>
            </w:tcBorders>
            <w:hideMark/>
          </w:tcPr>
          <w:p>
            <w:pPr>
              <w:rPr>
                <w:sz w:val="20"/>
              </w:rPr>
            </w:pPr>
            <w:r>
              <w:rPr>
                <w:sz w:val="20"/>
              </w:rPr>
              <w:t>6.6.</w:t>
            </w:r>
          </w:p>
        </w:tc>
        <w:tc>
          <w:tcPr>
            <w:tcW w:w="3264" w:type="dxa"/>
            <w:tcBorders>
              <w:top w:val="single" w:sz="4" w:space="0" w:color="auto"/>
              <w:left w:val="single" w:sz="4" w:space="0" w:color="auto"/>
              <w:bottom w:val="single" w:sz="4" w:space="0" w:color="auto"/>
              <w:right w:val="single" w:sz="4" w:space="0" w:color="auto"/>
            </w:tcBorders>
            <w:hideMark/>
          </w:tcPr>
          <w:p>
            <w:pPr>
              <w:rPr>
                <w:b/>
                <w:sz w:val="20"/>
              </w:rPr>
            </w:pPr>
            <w:r>
              <w:rPr>
                <w:sz w:val="20"/>
              </w:rPr>
              <w:t>skaičiuojamųjų šiluminės energijos sąnaudų patalpų šildymui ir karštam vandeniui ruošti</w:t>
            </w:r>
            <w:r>
              <w:rPr>
                <w:b/>
                <w:sz w:val="20"/>
              </w:rPr>
              <w:t xml:space="preserve"> </w:t>
            </w:r>
            <w:r>
              <w:rPr>
                <w:sz w:val="20"/>
              </w:rPr>
              <w:t>sumažėjimas, palyginti su esamos padėties duomenimis, įgyvendinus pirmojo etapo priemones</w:t>
            </w:r>
          </w:p>
        </w:tc>
        <w:tc>
          <w:tcPr>
            <w:tcW w:w="1690" w:type="dxa"/>
            <w:tcBorders>
              <w:top w:val="single" w:sz="4" w:space="0" w:color="auto"/>
              <w:left w:val="single" w:sz="4" w:space="0" w:color="auto"/>
              <w:bottom w:val="single" w:sz="4" w:space="0" w:color="auto"/>
              <w:right w:val="single" w:sz="4" w:space="0" w:color="auto"/>
            </w:tcBorders>
            <w:hideMark/>
          </w:tcPr>
          <w:p>
            <w:pPr>
              <w:rPr>
                <w:sz w:val="20"/>
              </w:rPr>
            </w:pPr>
            <w:r>
              <w:rPr>
                <w:sz w:val="20"/>
              </w:rPr>
              <w:t>procentais</w:t>
            </w:r>
          </w:p>
        </w:tc>
        <w:tc>
          <w:tcPr>
            <w:tcW w:w="1874" w:type="dxa"/>
            <w:tcBorders>
              <w:top w:val="single" w:sz="4" w:space="0" w:color="auto"/>
              <w:left w:val="single" w:sz="4" w:space="0" w:color="auto"/>
              <w:bottom w:val="single" w:sz="4" w:space="0" w:color="auto"/>
              <w:right w:val="single" w:sz="4" w:space="0" w:color="auto"/>
            </w:tcBorders>
            <w:vAlign w:val="center"/>
          </w:tcPr>
          <w:p>
            <w:pPr>
              <w:rPr>
                <w:sz w:val="20"/>
              </w:rPr>
            </w:pPr>
          </w:p>
        </w:tc>
        <w:tc>
          <w:tcPr>
            <w:tcW w:w="2055" w:type="dxa"/>
            <w:tcBorders>
              <w:top w:val="single" w:sz="4" w:space="0" w:color="auto"/>
              <w:left w:val="single" w:sz="4" w:space="0" w:color="auto"/>
              <w:bottom w:val="single" w:sz="4" w:space="0" w:color="auto"/>
              <w:right w:val="single" w:sz="4" w:space="0" w:color="auto"/>
            </w:tcBorders>
            <w:vAlign w:val="center"/>
          </w:tcPr>
          <w:p>
            <w:pPr>
              <w:rPr>
                <w:sz w:val="20"/>
              </w:rPr>
            </w:pPr>
          </w:p>
        </w:tc>
      </w:tr>
    </w:tbl>
    <w:p/>
    <w:p>
      <w:pPr>
        <w:pStyle w:val="PlainText"/>
        <w:rPr>
          <w:rFonts w:ascii="Times New Roman" w:eastAsia="MS Mincho" w:hAnsi="Times New Roman"/>
          <w:sz w:val="20"/>
          <w:i/>
          <w:iCs/>
        </w:rPr>
      </w:pPr>
      <w:r>
        <w:rPr>
          <w:rFonts w:ascii="Times New Roman" w:eastAsia="MS Mincho" w:hAnsi="Times New Roman"/>
          <w:sz w:val="20"/>
          <w:i/>
          <w:iCs/>
        </w:rPr>
        <w:t>Lentelės pakeitimai:</w:t>
      </w:r>
    </w:p>
    <w:p>
      <w:pPr>
        <w:pStyle w:val="PlainText"/>
        <w:jc w:val="both"/>
        <w:rPr>
          <w:rFonts w:ascii="Times New Roman" w:eastAsia="MS Mincho" w:hAnsi="Times New Roman"/>
          <w:sz w:val="20"/>
          <w:i/>
          <w:iCs/>
        </w:rPr>
      </w:pPr>
      <w:r>
        <w:rPr>
          <w:rFonts w:ascii="Times New Roman" w:eastAsia="MS Mincho" w:hAnsi="Times New Roman"/>
          <w:sz w:val="20"/>
          <w:i/>
          <w:iCs/>
        </w:rPr>
        <w:t xml:space="preserve">Nr. </w:t>
      </w:r>
      <w:fldSimple w:instr="HYPERLINK https://www.e-tar.lt/portal/legalAct.html?documentId=c3dc8760fa1f11e8a969c20aa4d38bd4">
        <w:r w:rsidRPr="00532B9F">
          <w:rPr>
            <w:rFonts w:ascii="Times New Roman" w:eastAsia="MS Mincho" w:hAnsi="Times New Roman"/>
            <w:sz w:val="20"/>
            <w:i/>
            <w:iCs/>
            <w:color w:val="0000FF" w:themeColor="hyperlink"/>
            <w:u w:val="single"/>
          </w:rPr>
          <w:t>D1-1073</w:t>
        </w:r>
      </w:fldSimple>
      <w:r>
        <w:rPr>
          <w:rFonts w:ascii="Times New Roman" w:eastAsia="MS Mincho" w:hAnsi="Times New Roman"/>
          <w:sz w:val="20"/>
          <w:i/>
          <w:iCs/>
        </w:rPr>
        <w:t>,
2018-12-07,
paskelbta TAR 2018-12-07, i. k. 2018-20118            </w:t>
      </w:r>
    </w:p>
    <w:p/>
    <w:p>
      <w:pPr>
        <w:shd w:val="clear" w:color="000000" w:fill="auto"/>
        <w:ind w:firstLine="567"/>
        <w:jc w:val="both"/>
        <w:rPr>
          <w:sz w:val="20"/>
          <w:lang w:eastAsia="ar-SA"/>
        </w:rPr>
      </w:pPr>
      <w:r>
        <w:rPr>
          <w:sz w:val="20"/>
        </w:rPr>
        <w:t>* Pildoma, jeigu projektą numatoma įgyvendinti etapais</w:t>
      </w:r>
    </w:p>
    <w:p>
      <w:pPr>
        <w:shd w:val="clear" w:color="000000" w:fill="auto"/>
        <w:jc w:val="both"/>
        <w:rPr>
          <w:sz w:val="20"/>
        </w:rPr>
      </w:pPr>
    </w:p>
    <w:p>
      <w:pPr>
        <w:pStyle w:val="PlainText"/>
        <w:ind w:firstLine="567"/>
        <w:jc w:val="both"/>
        <w:rPr>
          <w:rFonts w:ascii="Times New Roman" w:hAnsi="Times New Roman"/>
          <w:b/>
          <w:bCs/>
          <w:sz w:val="22"/>
        </w:rPr>
      </w:pPr>
      <w:r>
        <w:rPr>
          <w:rFonts w:ascii="Times New Roman" w:hAnsi="Times New Roman"/>
          <w:sz w:val="22"/>
        </w:rPr>
        <w:t>7</w:t>
      </w:r>
      <w:r>
        <w:rPr>
          <w:rFonts w:ascii="Times New Roman" w:hAnsi="Times New Roman"/>
          <w:sz w:val="22"/>
        </w:rPr>
        <w:t>.</w:t>
      </w:r>
      <w:r>
        <w:rPr>
          <w:rFonts w:ascii="Times New Roman" w:eastAsia="MS Mincho" w:hAnsi="Times New Roman"/>
          <w:sz w:val="20"/>
          <w:i/>
          <w:iCs/>
        </w:rPr>
        <w:t xml:space="preserve"> Neteko galios nuo 2019-08-15</w:t>
      </w:r>
    </w:p>
    <w:p>
      <w:pPr>
        <w:pStyle w:val="PlainText"/>
        <w:rPr>
          <w:rFonts w:ascii="Times New Roman" w:eastAsia="MS Mincho" w:hAnsi="Times New Roman"/>
          <w:sz w:val="20"/>
          <w:i/>
          <w:iCs/>
        </w:rPr>
      </w:pPr>
      <w:r>
        <w:rPr>
          <w:rFonts w:ascii="Times New Roman" w:eastAsia="MS Mincho" w:hAnsi="Times New Roman"/>
          <w:sz w:val="20"/>
          <w:i/>
          <w:iCs/>
        </w:rPr>
        <w:t>Punkto naikinimas:</w:t>
      </w:r>
    </w:p>
    <w:p>
      <w:pPr>
        <w:pStyle w:val="PlainText"/>
        <w:jc w:val="both"/>
        <w:rPr>
          <w:rFonts w:ascii="Times New Roman" w:eastAsia="MS Mincho" w:hAnsi="Times New Roman"/>
          <w:sz w:val="20"/>
          <w:i/>
          <w:iCs/>
        </w:rPr>
      </w:pPr>
      <w:r>
        <w:rPr>
          <w:rFonts w:ascii="Times New Roman" w:eastAsia="MS Mincho" w:hAnsi="Times New Roman"/>
          <w:sz w:val="20"/>
          <w:i/>
          <w:iCs/>
        </w:rPr>
        <w:t xml:space="preserve">Nr. </w:t>
      </w:r>
      <w:fldSimple w:instr="HYPERLINK https://www.e-tar.lt/portal/legalAct.html?documentId=edc5df10be8011e9840ec0427c781bac">
        <w:r w:rsidRPr="00532B9F">
          <w:rPr>
            <w:rFonts w:ascii="Times New Roman" w:eastAsia="MS Mincho" w:hAnsi="Times New Roman"/>
            <w:sz w:val="20"/>
            <w:i/>
            <w:iCs/>
            <w:color w:val="0000FF" w:themeColor="hyperlink"/>
            <w:u w:val="single"/>
          </w:rPr>
          <w:t>D1-488</w:t>
        </w:r>
      </w:fldSimple>
      <w:r>
        <w:rPr>
          <w:rFonts w:ascii="Times New Roman" w:eastAsia="MS Mincho" w:hAnsi="Times New Roman"/>
          <w:sz w:val="20"/>
          <w:i/>
          <w:iCs/>
        </w:rPr>
        <w:t>,
2019-08-14,
paskelbta TAR 2019-08-14, i. k. 2019-13160        </w:t>
      </w:r>
    </w:p>
    <w:p/>
    <w:p>
      <w:pPr>
        <w:shd w:val="clear" w:color="000000" w:fill="auto"/>
        <w:ind w:firstLine="709"/>
        <w:rPr>
          <w:b/>
          <w:bCs/>
        </w:rPr>
      </w:pPr>
      <w:r>
        <w:rPr>
          <w:b/>
          <w:bCs/>
        </w:rPr>
        <w:t>8</w:t>
      </w:r>
      <w:r>
        <w:rPr>
          <w:b/>
          <w:bCs/>
        </w:rPr>
        <w:t>. Projekto parengimo ir įgyvendinimo suvestinė kaina</w:t>
      </w:r>
    </w:p>
    <w:p>
      <w:pPr>
        <w:shd w:val="clear" w:color="000000" w:fill="auto"/>
        <w:ind w:firstLine="709"/>
        <w:jc w:val="both"/>
      </w:pPr>
      <w:r>
        <w:t>(</w:t>
      </w:r>
      <w:r>
        <w:rPr>
          <w:i/>
        </w:rPr>
        <w:t>Jei numatytas skirtingų namo atnaujinimo (modernizavimo) priemonių variantų palyginimas, duomenys pateikiami pagal variantus</w:t>
      </w:r>
      <w:r>
        <w:t>).</w:t>
      </w:r>
    </w:p>
    <w:p>
      <w:pPr>
        <w:ind w:firstLine="8080"/>
      </w:pPr>
      <w:r>
        <w:t>7</w:t>
      </w:r>
      <w:r>
        <w:t xml:space="preserve"> lentelė</w:t>
      </w:r>
    </w:p>
    <w:tbl>
      <w:tblPr>
        <w:tblW w:w="9641" w:type="dxa"/>
        <w:tblInd w:w="55" w:type="dxa"/>
        <w:tblLayout w:type="fixed"/>
        <w:tblCellMar>
          <w:top w:w="55" w:type="dxa"/>
          <w:left w:w="55" w:type="dxa"/>
          <w:bottom w:w="55" w:type="dxa"/>
          <w:right w:w="55" w:type="dxa"/>
        </w:tblCellMar>
        <w:tblLook w:val="04A0" w:firstRow="1" w:lastRow="0" w:firstColumn="1" w:lastColumn="0" w:noHBand="0" w:noVBand="1"/>
      </w:tblPr>
      <w:tblGrid>
        <w:gridCol w:w="642"/>
        <w:gridCol w:w="3212"/>
        <w:gridCol w:w="4613"/>
        <w:gridCol w:w="1174"/>
      </w:tblGrid>
      <w:tr>
        <w:trPr>
          <w:trHeight w:val="724"/>
        </w:trPr>
        <w:tc>
          <w:tcPr>
            <w:tcW w:w="642" w:type="dxa"/>
            <w:tcBorders>
              <w:top w:val="single" w:sz="2" w:space="0" w:color="000000"/>
              <w:left w:val="single" w:sz="2" w:space="0" w:color="000000"/>
              <w:bottom w:val="single" w:sz="2" w:space="0" w:color="000000"/>
              <w:right w:val="nil"/>
            </w:tcBorders>
            <w:vAlign w:val="center"/>
            <w:hideMark/>
          </w:tcPr>
          <w:p>
            <w:pPr>
              <w:tabs>
                <w:tab w:val="left" w:pos="0"/>
              </w:tabs>
              <w:spacing w:line="276" w:lineRule="auto"/>
              <w:jc w:val="center"/>
              <w:rPr>
                <w:rFonts w:eastAsia="Calibri"/>
                <w:sz w:val="20"/>
              </w:rPr>
            </w:pPr>
            <w:r>
              <w:rPr>
                <w:rFonts w:eastAsia="Calibri"/>
                <w:sz w:val="20"/>
              </w:rPr>
              <w:t>Eil. Nr.</w:t>
            </w:r>
          </w:p>
        </w:tc>
        <w:tc>
          <w:tcPr>
            <w:tcW w:w="3212" w:type="dxa"/>
            <w:tcBorders>
              <w:top w:val="single" w:sz="2" w:space="0" w:color="000000"/>
              <w:left w:val="single" w:sz="2" w:space="0" w:color="000000"/>
              <w:bottom w:val="single" w:sz="2" w:space="0" w:color="000000"/>
              <w:right w:val="nil"/>
            </w:tcBorders>
            <w:vAlign w:val="center"/>
            <w:hideMark/>
          </w:tcPr>
          <w:p>
            <w:pPr>
              <w:tabs>
                <w:tab w:val="left" w:pos="0"/>
              </w:tabs>
              <w:spacing w:line="276" w:lineRule="auto"/>
              <w:ind w:firstLine="426"/>
              <w:jc w:val="center"/>
              <w:rPr>
                <w:rFonts w:eastAsia="Calibri"/>
                <w:sz w:val="20"/>
              </w:rPr>
            </w:pPr>
            <w:r>
              <w:rPr>
                <w:rFonts w:eastAsia="Calibri"/>
                <w:sz w:val="20"/>
              </w:rPr>
              <w:t>Išlaidų pavadinimas</w:t>
            </w:r>
          </w:p>
        </w:tc>
        <w:tc>
          <w:tcPr>
            <w:tcW w:w="4613" w:type="dxa"/>
            <w:tcBorders>
              <w:top w:val="single" w:sz="2" w:space="0" w:color="000000"/>
              <w:left w:val="single" w:sz="2" w:space="0" w:color="000000"/>
              <w:bottom w:val="single" w:sz="4" w:space="0" w:color="auto"/>
              <w:right w:val="nil"/>
            </w:tcBorders>
            <w:vAlign w:val="center"/>
            <w:hideMark/>
          </w:tcPr>
          <w:p>
            <w:pPr>
              <w:tabs>
                <w:tab w:val="left" w:pos="0"/>
              </w:tabs>
              <w:spacing w:line="276" w:lineRule="auto"/>
              <w:ind w:firstLine="426"/>
              <w:jc w:val="center"/>
              <w:rPr>
                <w:rFonts w:eastAsia="Calibri"/>
                <w:sz w:val="20"/>
              </w:rPr>
            </w:pPr>
            <w:r>
              <w:rPr>
                <w:rFonts w:eastAsia="Calibri"/>
                <w:sz w:val="20"/>
              </w:rPr>
              <w:t>Preliminari kaina, Eur</w:t>
            </w:r>
          </w:p>
        </w:tc>
        <w:tc>
          <w:tcPr>
            <w:tcW w:w="1174" w:type="dxa"/>
            <w:tcBorders>
              <w:top w:val="single" w:sz="2" w:space="0" w:color="000000"/>
              <w:left w:val="single" w:sz="2" w:space="0" w:color="000000"/>
              <w:bottom w:val="single" w:sz="2" w:space="0" w:color="000000"/>
              <w:right w:val="single" w:sz="2" w:space="0" w:color="000000"/>
            </w:tcBorders>
            <w:vAlign w:val="center"/>
            <w:hideMark/>
          </w:tcPr>
          <w:p>
            <w:pPr>
              <w:tabs>
                <w:tab w:val="left" w:pos="0"/>
              </w:tabs>
              <w:spacing w:line="276" w:lineRule="auto"/>
              <w:jc w:val="center"/>
              <w:rPr>
                <w:rFonts w:eastAsia="Calibri"/>
                <w:sz w:val="20"/>
              </w:rPr>
            </w:pPr>
            <w:r>
              <w:rPr>
                <w:rFonts w:eastAsia="Calibri"/>
                <w:sz w:val="20"/>
              </w:rPr>
              <w:t>Santykinė kaina, Eur/m</w:t>
            </w:r>
            <w:r>
              <w:rPr>
                <w:rFonts w:eastAsia="Calibri"/>
                <w:sz w:val="20"/>
                <w:vertAlign w:val="superscript"/>
              </w:rPr>
              <w:t>2</w:t>
            </w:r>
          </w:p>
        </w:tc>
      </w:tr>
      <w:tr>
        <w:tc>
          <w:tcPr>
            <w:tcW w:w="642" w:type="dxa"/>
            <w:tcBorders>
              <w:top w:val="nil"/>
              <w:left w:val="single" w:sz="2" w:space="0" w:color="000000"/>
              <w:bottom w:val="single" w:sz="2" w:space="0" w:color="000000"/>
              <w:right w:val="nil"/>
            </w:tcBorders>
            <w:hideMark/>
          </w:tcPr>
          <w:p>
            <w:pPr>
              <w:suppressLineNumbers/>
              <w:suppressAutoHyphens/>
              <w:snapToGrid w:val="0"/>
              <w:jc w:val="center"/>
              <w:rPr>
                <w:rFonts w:cs="Calibri"/>
                <w:sz w:val="20"/>
                <w:lang w:eastAsia="ar-SA"/>
              </w:rPr>
            </w:pPr>
            <w:r>
              <w:rPr>
                <w:rFonts w:cs="Calibri"/>
                <w:sz w:val="20"/>
                <w:lang w:eastAsia="ar-SA"/>
              </w:rPr>
              <w:t>1</w:t>
            </w:r>
          </w:p>
        </w:tc>
        <w:tc>
          <w:tcPr>
            <w:tcW w:w="3212" w:type="dxa"/>
            <w:tcBorders>
              <w:top w:val="nil"/>
              <w:left w:val="single" w:sz="2" w:space="0" w:color="000000"/>
              <w:bottom w:val="single" w:sz="2" w:space="0" w:color="000000"/>
              <w:right w:val="single" w:sz="2" w:space="0" w:color="000000"/>
            </w:tcBorders>
            <w:hideMark/>
          </w:tcPr>
          <w:p>
            <w:pPr>
              <w:suppressLineNumbers/>
              <w:suppressAutoHyphens/>
              <w:snapToGrid w:val="0"/>
              <w:jc w:val="center"/>
              <w:rPr>
                <w:rFonts w:cs="Calibri"/>
                <w:sz w:val="20"/>
                <w:lang w:eastAsia="ar-SA"/>
              </w:rPr>
            </w:pPr>
            <w:r>
              <w:rPr>
                <w:rFonts w:cs="Calibri"/>
                <w:sz w:val="20"/>
                <w:lang w:eastAsia="ar-SA"/>
              </w:rPr>
              <w:t>2</w:t>
            </w:r>
          </w:p>
        </w:tc>
        <w:tc>
          <w:tcPr>
            <w:tcW w:w="4613" w:type="dxa"/>
            <w:tcBorders>
              <w:top w:val="single" w:sz="4" w:space="0" w:color="auto"/>
              <w:left w:val="single" w:sz="2" w:space="0" w:color="000000"/>
              <w:bottom w:val="single" w:sz="2" w:space="0" w:color="000000"/>
              <w:right w:val="single" w:sz="2" w:space="0" w:color="000000"/>
            </w:tcBorders>
            <w:hideMark/>
          </w:tcPr>
          <w:p>
            <w:pPr>
              <w:suppressLineNumbers/>
              <w:suppressAutoHyphens/>
              <w:snapToGrid w:val="0"/>
              <w:jc w:val="center"/>
              <w:rPr>
                <w:rFonts w:cs="Calibri"/>
                <w:sz w:val="20"/>
                <w:lang w:eastAsia="ar-SA"/>
              </w:rPr>
            </w:pPr>
            <w:r>
              <w:rPr>
                <w:rFonts w:cs="Calibri"/>
                <w:sz w:val="20"/>
                <w:lang w:eastAsia="ar-SA"/>
              </w:rPr>
              <w:t>3</w:t>
            </w:r>
          </w:p>
        </w:tc>
        <w:tc>
          <w:tcPr>
            <w:tcW w:w="1174" w:type="dxa"/>
            <w:tcBorders>
              <w:top w:val="nil"/>
              <w:left w:val="single" w:sz="2" w:space="0" w:color="000000"/>
              <w:bottom w:val="single" w:sz="2" w:space="0" w:color="000000"/>
              <w:right w:val="single" w:sz="2" w:space="0" w:color="000000"/>
            </w:tcBorders>
            <w:hideMark/>
          </w:tcPr>
          <w:p>
            <w:pPr>
              <w:suppressLineNumbers/>
              <w:suppressAutoHyphens/>
              <w:snapToGrid w:val="0"/>
              <w:jc w:val="center"/>
              <w:rPr>
                <w:rFonts w:cs="Calibri"/>
                <w:sz w:val="20"/>
                <w:lang w:eastAsia="ar-SA"/>
              </w:rPr>
            </w:pPr>
            <w:r>
              <w:rPr>
                <w:rFonts w:cs="Calibri"/>
                <w:sz w:val="20"/>
                <w:lang w:eastAsia="ar-SA"/>
              </w:rPr>
              <w:t>4</w:t>
            </w:r>
          </w:p>
        </w:tc>
      </w:tr>
      <w:tr>
        <w:tc>
          <w:tcPr>
            <w:tcW w:w="642" w:type="dxa"/>
            <w:tcBorders>
              <w:top w:val="nil"/>
              <w:left w:val="single" w:sz="2" w:space="0" w:color="000000"/>
              <w:bottom w:val="single" w:sz="2" w:space="0" w:color="000000"/>
              <w:right w:val="nil"/>
            </w:tcBorders>
            <w:hideMark/>
          </w:tcPr>
          <w:p>
            <w:pPr>
              <w:suppressLineNumbers/>
              <w:suppressAutoHyphens/>
              <w:snapToGrid w:val="0"/>
              <w:jc w:val="center"/>
              <w:rPr>
                <w:rFonts w:cs="Calibri"/>
                <w:sz w:val="20"/>
                <w:lang w:eastAsia="ar-SA"/>
              </w:rPr>
            </w:pPr>
            <w:r>
              <w:rPr>
                <w:rFonts w:cs="Calibri"/>
                <w:sz w:val="20"/>
                <w:lang w:eastAsia="ar-SA"/>
              </w:rPr>
              <w:t>8.1.</w:t>
            </w:r>
          </w:p>
        </w:tc>
        <w:tc>
          <w:tcPr>
            <w:tcW w:w="3212" w:type="dxa"/>
            <w:tcBorders>
              <w:top w:val="nil"/>
              <w:left w:val="single" w:sz="2" w:space="0" w:color="000000"/>
              <w:bottom w:val="single" w:sz="2" w:space="0" w:color="000000"/>
              <w:right w:val="nil"/>
            </w:tcBorders>
            <w:hideMark/>
          </w:tcPr>
          <w:p>
            <w:pPr>
              <w:suppressLineNumbers/>
              <w:suppressAutoHyphens/>
              <w:snapToGrid w:val="0"/>
              <w:rPr>
                <w:rFonts w:cs="Calibri"/>
                <w:sz w:val="20"/>
                <w:lang w:eastAsia="ar-SA"/>
              </w:rPr>
            </w:pPr>
            <w:r>
              <w:rPr>
                <w:rFonts w:cs="Calibri"/>
                <w:sz w:val="20"/>
                <w:lang w:eastAsia="ar-SA"/>
              </w:rPr>
              <w:t xml:space="preserve">statybos darbai, iš viso:  </w:t>
            </w:r>
          </w:p>
        </w:tc>
        <w:tc>
          <w:tcPr>
            <w:tcW w:w="4613" w:type="dxa"/>
            <w:tcBorders>
              <w:top w:val="single" w:sz="2" w:space="0" w:color="000000"/>
              <w:left w:val="single" w:sz="2" w:space="0" w:color="000000"/>
              <w:bottom w:val="single" w:sz="2" w:space="0" w:color="000000"/>
              <w:right w:val="nil"/>
            </w:tcBorders>
          </w:tcPr>
          <w:p>
            <w:pPr>
              <w:suppressLineNumbers/>
              <w:suppressAutoHyphens/>
              <w:snapToGrid w:val="0"/>
              <w:rPr>
                <w:rFonts w:cs="Calibri"/>
                <w:sz w:val="20"/>
                <w:lang w:eastAsia="ar-SA"/>
              </w:rPr>
            </w:pPr>
          </w:p>
        </w:tc>
        <w:tc>
          <w:tcPr>
            <w:tcW w:w="1174" w:type="dxa"/>
            <w:tcBorders>
              <w:top w:val="nil"/>
              <w:left w:val="single" w:sz="2" w:space="0" w:color="000000"/>
              <w:bottom w:val="single" w:sz="2" w:space="0" w:color="000000"/>
              <w:right w:val="single" w:sz="2" w:space="0" w:color="000000"/>
            </w:tcBorders>
          </w:tcPr>
          <w:p>
            <w:pPr>
              <w:suppressLineNumbers/>
              <w:suppressAutoHyphens/>
              <w:snapToGrid w:val="0"/>
              <w:rPr>
                <w:rFonts w:cs="Calibri"/>
                <w:sz w:val="20"/>
                <w:lang w:eastAsia="ar-SA"/>
              </w:rPr>
            </w:pPr>
          </w:p>
        </w:tc>
      </w:tr>
      <w:tr>
        <w:tc>
          <w:tcPr>
            <w:tcW w:w="642" w:type="dxa"/>
            <w:tcBorders>
              <w:top w:val="nil"/>
              <w:left w:val="single" w:sz="2" w:space="0" w:color="000000"/>
              <w:bottom w:val="single" w:sz="2" w:space="0" w:color="000000"/>
              <w:right w:val="nil"/>
            </w:tcBorders>
            <w:hideMark/>
          </w:tcPr>
          <w:p>
            <w:pPr>
              <w:suppressLineNumbers/>
              <w:suppressAutoHyphens/>
              <w:snapToGrid w:val="0"/>
              <w:jc w:val="center"/>
              <w:rPr>
                <w:rFonts w:cs="Calibri"/>
                <w:sz w:val="20"/>
                <w:lang w:eastAsia="ar-SA"/>
              </w:rPr>
            </w:pPr>
            <w:r>
              <w:rPr>
                <w:rFonts w:cs="Calibri"/>
                <w:sz w:val="20"/>
                <w:lang w:eastAsia="ar-SA"/>
              </w:rPr>
              <w:t>8.1.1</w:t>
            </w:r>
          </w:p>
        </w:tc>
        <w:tc>
          <w:tcPr>
            <w:tcW w:w="3212" w:type="dxa"/>
            <w:tcBorders>
              <w:top w:val="nil"/>
              <w:left w:val="single" w:sz="2" w:space="0" w:color="000000"/>
              <w:bottom w:val="single" w:sz="2" w:space="0" w:color="000000"/>
              <w:right w:val="nil"/>
            </w:tcBorders>
            <w:hideMark/>
          </w:tcPr>
          <w:p>
            <w:pPr>
              <w:suppressLineNumbers/>
              <w:suppressAutoHyphens/>
              <w:snapToGrid w:val="0"/>
              <w:rPr>
                <w:rFonts w:cs="Calibri"/>
                <w:sz w:val="20"/>
                <w:lang w:eastAsia="ar-SA"/>
              </w:rPr>
            </w:pPr>
            <w:r>
              <w:rPr>
                <w:rFonts w:cs="Calibri"/>
                <w:sz w:val="20"/>
                <w:lang w:eastAsia="ar-SA"/>
              </w:rPr>
              <w:t>iš jų:</w:t>
            </w:r>
          </w:p>
          <w:p>
            <w:pPr>
              <w:suppressLineNumbers/>
              <w:suppressAutoHyphens/>
              <w:snapToGrid w:val="0"/>
              <w:rPr>
                <w:rFonts w:cs="Calibri"/>
                <w:sz w:val="20"/>
                <w:lang w:eastAsia="ar-SA"/>
              </w:rPr>
            </w:pPr>
            <w:r>
              <w:rPr>
                <w:rFonts w:cs="Calibri"/>
                <w:sz w:val="20"/>
                <w:lang w:eastAsia="ar-SA"/>
              </w:rPr>
              <w:t xml:space="preserve">statybos darbai, tenkantys energijos efektyvumą didinančioms priemonėms </w:t>
            </w:r>
          </w:p>
        </w:tc>
        <w:tc>
          <w:tcPr>
            <w:tcW w:w="4613" w:type="dxa"/>
            <w:tcBorders>
              <w:top w:val="nil"/>
              <w:left w:val="single" w:sz="2" w:space="0" w:color="000000"/>
              <w:bottom w:val="single" w:sz="2" w:space="0" w:color="000000"/>
              <w:right w:val="nil"/>
            </w:tcBorders>
          </w:tcPr>
          <w:p>
            <w:pPr>
              <w:suppressLineNumbers/>
              <w:suppressAutoHyphens/>
              <w:snapToGrid w:val="0"/>
              <w:rPr>
                <w:rFonts w:cs="Calibri"/>
                <w:sz w:val="20"/>
                <w:lang w:eastAsia="ar-SA"/>
              </w:rPr>
            </w:pPr>
          </w:p>
        </w:tc>
        <w:tc>
          <w:tcPr>
            <w:tcW w:w="1174" w:type="dxa"/>
            <w:tcBorders>
              <w:top w:val="nil"/>
              <w:left w:val="single" w:sz="2" w:space="0" w:color="000000"/>
              <w:bottom w:val="single" w:sz="2" w:space="0" w:color="000000"/>
              <w:right w:val="single" w:sz="2" w:space="0" w:color="000000"/>
            </w:tcBorders>
          </w:tcPr>
          <w:p>
            <w:pPr>
              <w:suppressLineNumbers/>
              <w:suppressAutoHyphens/>
              <w:snapToGrid w:val="0"/>
              <w:rPr>
                <w:rFonts w:cs="Calibri"/>
                <w:sz w:val="20"/>
                <w:lang w:eastAsia="ar-SA"/>
              </w:rPr>
            </w:pPr>
          </w:p>
        </w:tc>
      </w:tr>
      <w:tr>
        <w:tc>
          <w:tcPr>
            <w:tcW w:w="642" w:type="dxa"/>
            <w:tcBorders>
              <w:top w:val="nil"/>
              <w:left w:val="single" w:sz="2" w:space="0" w:color="000000"/>
              <w:bottom w:val="single" w:sz="2" w:space="0" w:color="000000"/>
              <w:right w:val="nil"/>
            </w:tcBorders>
            <w:hideMark/>
          </w:tcPr>
          <w:p>
            <w:pPr>
              <w:suppressLineNumbers/>
              <w:suppressAutoHyphens/>
              <w:snapToGrid w:val="0"/>
              <w:jc w:val="center"/>
              <w:rPr>
                <w:rFonts w:cs="Calibri"/>
                <w:sz w:val="20"/>
                <w:lang w:eastAsia="ar-SA"/>
              </w:rPr>
            </w:pPr>
            <w:r>
              <w:rPr>
                <w:rFonts w:cs="Calibri"/>
                <w:sz w:val="20"/>
                <w:lang w:eastAsia="ar-SA"/>
              </w:rPr>
              <w:t>8.2.</w:t>
            </w:r>
          </w:p>
        </w:tc>
        <w:tc>
          <w:tcPr>
            <w:tcW w:w="3212" w:type="dxa"/>
            <w:tcBorders>
              <w:top w:val="nil"/>
              <w:left w:val="single" w:sz="2" w:space="0" w:color="000000"/>
              <w:bottom w:val="single" w:sz="4" w:space="0" w:color="auto"/>
              <w:right w:val="nil"/>
            </w:tcBorders>
          </w:tcPr>
          <w:p>
            <w:pPr>
              <w:ind w:firstLine="12"/>
              <w:jc w:val="both"/>
              <w:rPr>
                <w:rFonts w:cs="Calibri"/>
                <w:sz w:val="20"/>
                <w:lang w:eastAsia="ar-SA"/>
              </w:rPr>
            </w:pPr>
            <w:r>
              <w:rPr>
                <w:sz w:val="20"/>
              </w:rPr>
              <w:t xml:space="preserve">projekto parengimas (įskaitant ekspertizę, jei būtina, ir projekto įgyvendinimo priežiūrą, kurią vykdo Projekto vadovas) </w:t>
            </w:r>
          </w:p>
          <w:p>
            <w:pPr>
              <w:suppressLineNumbers/>
              <w:suppressAutoHyphens/>
              <w:snapToGrid w:val="0"/>
              <w:rPr>
                <w:rFonts w:cs="Calibri"/>
                <w:sz w:val="20"/>
                <w:lang w:eastAsia="ar-SA"/>
              </w:rPr>
            </w:pPr>
          </w:p>
        </w:tc>
        <w:tc>
          <w:tcPr>
            <w:tcW w:w="4613" w:type="dxa"/>
            <w:tcBorders>
              <w:top w:val="nil"/>
              <w:left w:val="single" w:sz="2" w:space="0" w:color="000000"/>
              <w:bottom w:val="single" w:sz="4" w:space="0" w:color="auto"/>
              <w:right w:val="nil"/>
            </w:tcBorders>
          </w:tcPr>
          <w:p>
            <w:pPr>
              <w:suppressLineNumbers/>
              <w:suppressAutoHyphens/>
              <w:snapToGrid w:val="0"/>
              <w:rPr>
                <w:rFonts w:cs="Calibri"/>
                <w:sz w:val="20"/>
                <w:lang w:eastAsia="ar-SA"/>
              </w:rPr>
            </w:pPr>
          </w:p>
        </w:tc>
        <w:tc>
          <w:tcPr>
            <w:tcW w:w="1174" w:type="dxa"/>
            <w:tcBorders>
              <w:top w:val="nil"/>
              <w:left w:val="single" w:sz="2" w:space="0" w:color="000000"/>
              <w:bottom w:val="single" w:sz="2" w:space="0" w:color="000000"/>
              <w:right w:val="single" w:sz="2" w:space="0" w:color="000000"/>
            </w:tcBorders>
          </w:tcPr>
          <w:p>
            <w:pPr>
              <w:suppressLineNumbers/>
              <w:suppressAutoHyphens/>
              <w:snapToGrid w:val="0"/>
              <w:rPr>
                <w:rFonts w:cs="Calibri"/>
                <w:sz w:val="20"/>
                <w:lang w:eastAsia="ar-SA"/>
              </w:rPr>
            </w:pPr>
          </w:p>
        </w:tc>
      </w:tr>
      <w:tr>
        <w:tc>
          <w:tcPr>
            <w:tcW w:w="642" w:type="dxa"/>
            <w:tcBorders>
              <w:top w:val="nil"/>
              <w:left w:val="single" w:sz="2" w:space="0" w:color="000000"/>
              <w:bottom w:val="single" w:sz="2" w:space="0" w:color="000000"/>
              <w:right w:val="single" w:sz="2" w:space="0" w:color="000000"/>
            </w:tcBorders>
            <w:hideMark/>
          </w:tcPr>
          <w:p>
            <w:pPr>
              <w:suppressLineNumbers/>
              <w:suppressAutoHyphens/>
              <w:snapToGrid w:val="0"/>
              <w:jc w:val="center"/>
              <w:rPr>
                <w:rFonts w:cs="Calibri"/>
                <w:sz w:val="20"/>
                <w:lang w:eastAsia="ar-SA"/>
              </w:rPr>
            </w:pPr>
            <w:r>
              <w:rPr>
                <w:rFonts w:cs="Calibri"/>
                <w:sz w:val="20"/>
                <w:lang w:eastAsia="ar-SA"/>
              </w:rPr>
              <w:t>8.3.</w:t>
            </w:r>
          </w:p>
        </w:tc>
        <w:tc>
          <w:tcPr>
            <w:tcW w:w="3212" w:type="dxa"/>
            <w:tcBorders>
              <w:top w:val="single" w:sz="4" w:space="0" w:color="auto"/>
              <w:left w:val="single" w:sz="2" w:space="0" w:color="000000"/>
              <w:bottom w:val="single" w:sz="4" w:space="0" w:color="auto"/>
              <w:right w:val="single" w:sz="2" w:space="0" w:color="000000"/>
            </w:tcBorders>
            <w:hideMark/>
          </w:tcPr>
          <w:p>
            <w:pPr>
              <w:suppressLineNumbers/>
              <w:suppressAutoHyphens/>
              <w:snapToGrid w:val="0"/>
              <w:rPr>
                <w:rFonts w:cs="Calibri"/>
                <w:sz w:val="20"/>
                <w:lang w:eastAsia="ar-SA"/>
              </w:rPr>
            </w:pPr>
            <w:r>
              <w:rPr>
                <w:rFonts w:cs="Calibri"/>
                <w:sz w:val="20"/>
                <w:lang w:eastAsia="ar-SA"/>
              </w:rPr>
              <w:t>statybos techninė priežiūra</w:t>
            </w:r>
          </w:p>
        </w:tc>
        <w:tc>
          <w:tcPr>
            <w:tcW w:w="4613" w:type="dxa"/>
            <w:tcBorders>
              <w:top w:val="single" w:sz="4" w:space="0" w:color="auto"/>
              <w:left w:val="single" w:sz="2" w:space="0" w:color="000000"/>
              <w:bottom w:val="single" w:sz="4" w:space="0" w:color="auto"/>
              <w:right w:val="single" w:sz="2" w:space="0" w:color="000000"/>
            </w:tcBorders>
          </w:tcPr>
          <w:p>
            <w:pPr>
              <w:suppressLineNumbers/>
              <w:suppressAutoHyphens/>
              <w:snapToGrid w:val="0"/>
              <w:rPr>
                <w:rFonts w:cs="Calibri"/>
                <w:sz w:val="20"/>
                <w:lang w:eastAsia="ar-SA"/>
              </w:rPr>
            </w:pPr>
          </w:p>
        </w:tc>
        <w:tc>
          <w:tcPr>
            <w:tcW w:w="1174" w:type="dxa"/>
            <w:tcBorders>
              <w:top w:val="nil"/>
              <w:left w:val="single" w:sz="2" w:space="0" w:color="000000"/>
              <w:bottom w:val="single" w:sz="2" w:space="0" w:color="000000"/>
              <w:right w:val="single" w:sz="2" w:space="0" w:color="000000"/>
            </w:tcBorders>
          </w:tcPr>
          <w:p>
            <w:pPr>
              <w:suppressLineNumbers/>
              <w:suppressAutoHyphens/>
              <w:snapToGrid w:val="0"/>
              <w:rPr>
                <w:rFonts w:cs="Calibri"/>
                <w:sz w:val="20"/>
                <w:lang w:eastAsia="ar-SA"/>
              </w:rPr>
            </w:pPr>
          </w:p>
        </w:tc>
      </w:tr>
      <w:tr>
        <w:tc>
          <w:tcPr>
            <w:tcW w:w="642" w:type="dxa"/>
            <w:tcBorders>
              <w:top w:val="nil"/>
              <w:left w:val="single" w:sz="2" w:space="0" w:color="000000"/>
              <w:bottom w:val="single" w:sz="2" w:space="0" w:color="000000"/>
              <w:right w:val="nil"/>
            </w:tcBorders>
            <w:hideMark/>
          </w:tcPr>
          <w:p>
            <w:pPr>
              <w:suppressLineNumbers/>
              <w:suppressAutoHyphens/>
              <w:snapToGrid w:val="0"/>
              <w:jc w:val="center"/>
              <w:rPr>
                <w:rFonts w:cs="Calibri"/>
                <w:sz w:val="20"/>
                <w:lang w:eastAsia="ar-SA"/>
              </w:rPr>
            </w:pPr>
            <w:r>
              <w:rPr>
                <w:rFonts w:cs="Calibri"/>
                <w:sz w:val="20"/>
                <w:lang w:eastAsia="ar-SA"/>
              </w:rPr>
              <w:t>8.4.</w:t>
            </w:r>
          </w:p>
        </w:tc>
        <w:tc>
          <w:tcPr>
            <w:tcW w:w="3212" w:type="dxa"/>
            <w:tcBorders>
              <w:top w:val="single" w:sz="4" w:space="0" w:color="auto"/>
              <w:left w:val="single" w:sz="2" w:space="0" w:color="000000"/>
              <w:bottom w:val="single" w:sz="2" w:space="0" w:color="000000"/>
              <w:right w:val="nil"/>
            </w:tcBorders>
            <w:hideMark/>
          </w:tcPr>
          <w:p>
            <w:pPr>
              <w:suppressLineNumbers/>
              <w:suppressAutoHyphens/>
              <w:snapToGrid w:val="0"/>
              <w:rPr>
                <w:rFonts w:cs="Calibri"/>
                <w:sz w:val="20"/>
                <w:lang w:eastAsia="ar-SA"/>
              </w:rPr>
            </w:pPr>
            <w:r>
              <w:rPr>
                <w:rFonts w:cs="Calibri"/>
                <w:sz w:val="20"/>
                <w:lang w:eastAsia="ar-SA"/>
              </w:rPr>
              <w:t>projekto administravimas</w:t>
            </w:r>
          </w:p>
        </w:tc>
        <w:tc>
          <w:tcPr>
            <w:tcW w:w="4613" w:type="dxa"/>
            <w:tcBorders>
              <w:top w:val="single" w:sz="4" w:space="0" w:color="auto"/>
              <w:left w:val="single" w:sz="2" w:space="0" w:color="000000"/>
              <w:bottom w:val="single" w:sz="2" w:space="0" w:color="000000"/>
              <w:right w:val="nil"/>
            </w:tcBorders>
          </w:tcPr>
          <w:p>
            <w:pPr>
              <w:suppressLineNumbers/>
              <w:suppressAutoHyphens/>
              <w:snapToGrid w:val="0"/>
              <w:rPr>
                <w:rFonts w:cs="Calibri"/>
                <w:sz w:val="20"/>
                <w:lang w:eastAsia="ar-SA"/>
              </w:rPr>
            </w:pPr>
          </w:p>
        </w:tc>
        <w:tc>
          <w:tcPr>
            <w:tcW w:w="1174" w:type="dxa"/>
            <w:tcBorders>
              <w:top w:val="nil"/>
              <w:left w:val="single" w:sz="2" w:space="0" w:color="000000"/>
              <w:bottom w:val="single" w:sz="2" w:space="0" w:color="000000"/>
              <w:right w:val="single" w:sz="2" w:space="0" w:color="000000"/>
            </w:tcBorders>
          </w:tcPr>
          <w:p>
            <w:pPr>
              <w:suppressLineNumbers/>
              <w:suppressAutoHyphens/>
              <w:snapToGrid w:val="0"/>
              <w:rPr>
                <w:rFonts w:cs="Calibri"/>
                <w:sz w:val="20"/>
                <w:lang w:eastAsia="ar-SA"/>
              </w:rPr>
            </w:pPr>
          </w:p>
        </w:tc>
      </w:tr>
      <w:tr>
        <w:tc>
          <w:tcPr>
            <w:tcW w:w="642" w:type="dxa"/>
            <w:tcBorders>
              <w:top w:val="nil"/>
              <w:left w:val="single" w:sz="2" w:space="0" w:color="000000"/>
              <w:bottom w:val="single" w:sz="2" w:space="0" w:color="000000"/>
              <w:right w:val="nil"/>
            </w:tcBorders>
          </w:tcPr>
          <w:p>
            <w:pPr>
              <w:suppressLineNumbers/>
              <w:suppressAutoHyphens/>
              <w:snapToGrid w:val="0"/>
              <w:jc w:val="center"/>
              <w:rPr>
                <w:rFonts w:cs="Calibri"/>
                <w:sz w:val="20"/>
                <w:lang w:eastAsia="ar-SA"/>
              </w:rPr>
            </w:pPr>
          </w:p>
        </w:tc>
        <w:tc>
          <w:tcPr>
            <w:tcW w:w="3212" w:type="dxa"/>
            <w:tcBorders>
              <w:top w:val="single" w:sz="4" w:space="0" w:color="auto"/>
              <w:left w:val="single" w:sz="2" w:space="0" w:color="000000"/>
              <w:bottom w:val="single" w:sz="2" w:space="0" w:color="000000"/>
              <w:right w:val="nil"/>
            </w:tcBorders>
          </w:tcPr>
          <w:p>
            <w:pPr>
              <w:suppressLineNumbers/>
              <w:suppressAutoHyphens/>
              <w:snapToGrid w:val="0"/>
              <w:rPr>
                <w:rFonts w:cs="Calibri"/>
                <w:sz w:val="20"/>
                <w:lang w:eastAsia="ar-SA"/>
              </w:rPr>
            </w:pPr>
          </w:p>
        </w:tc>
        <w:tc>
          <w:tcPr>
            <w:tcW w:w="4613" w:type="dxa"/>
            <w:tcBorders>
              <w:top w:val="single" w:sz="4" w:space="0" w:color="auto"/>
              <w:left w:val="single" w:sz="2" w:space="0" w:color="000000"/>
              <w:bottom w:val="single" w:sz="2" w:space="0" w:color="000000"/>
              <w:right w:val="nil"/>
            </w:tcBorders>
          </w:tcPr>
          <w:p>
            <w:pPr>
              <w:suppressLineNumbers/>
              <w:suppressAutoHyphens/>
              <w:snapToGrid w:val="0"/>
              <w:rPr>
                <w:rFonts w:cs="Calibri"/>
                <w:sz w:val="20"/>
                <w:lang w:eastAsia="ar-SA"/>
              </w:rPr>
            </w:pPr>
          </w:p>
        </w:tc>
        <w:tc>
          <w:tcPr>
            <w:tcW w:w="1174" w:type="dxa"/>
            <w:tcBorders>
              <w:top w:val="nil"/>
              <w:left w:val="single" w:sz="2" w:space="0" w:color="000000"/>
              <w:bottom w:val="single" w:sz="2" w:space="0" w:color="000000"/>
              <w:right w:val="single" w:sz="2" w:space="0" w:color="000000"/>
            </w:tcBorders>
          </w:tcPr>
          <w:p>
            <w:pPr>
              <w:suppressLineNumbers/>
              <w:suppressAutoHyphens/>
              <w:snapToGrid w:val="0"/>
              <w:rPr>
                <w:rFonts w:cs="Calibri"/>
                <w:sz w:val="20"/>
                <w:lang w:eastAsia="ar-SA"/>
              </w:rPr>
            </w:pPr>
          </w:p>
        </w:tc>
      </w:tr>
      <w:tr>
        <w:tc>
          <w:tcPr>
            <w:tcW w:w="642" w:type="dxa"/>
            <w:tcBorders>
              <w:top w:val="nil"/>
              <w:left w:val="single" w:sz="2" w:space="0" w:color="000000"/>
              <w:bottom w:val="single" w:sz="2" w:space="0" w:color="000000"/>
              <w:right w:val="nil"/>
            </w:tcBorders>
          </w:tcPr>
          <w:p>
            <w:pPr>
              <w:suppressLineNumbers/>
              <w:suppressAutoHyphens/>
              <w:snapToGrid w:val="0"/>
              <w:jc w:val="center"/>
              <w:rPr>
                <w:rFonts w:cs="Calibri"/>
                <w:sz w:val="20"/>
                <w:lang w:eastAsia="ar-SA"/>
              </w:rPr>
            </w:pPr>
          </w:p>
        </w:tc>
        <w:tc>
          <w:tcPr>
            <w:tcW w:w="3212" w:type="dxa"/>
            <w:tcBorders>
              <w:top w:val="nil"/>
              <w:left w:val="single" w:sz="2" w:space="0" w:color="000000"/>
              <w:bottom w:val="single" w:sz="2" w:space="0" w:color="000000"/>
              <w:right w:val="nil"/>
            </w:tcBorders>
          </w:tcPr>
          <w:p>
            <w:pPr>
              <w:suppressLineNumbers/>
              <w:suppressAutoHyphens/>
              <w:snapToGrid w:val="0"/>
              <w:rPr>
                <w:rFonts w:cs="Calibri"/>
                <w:b/>
                <w:sz w:val="20"/>
                <w:lang w:eastAsia="ar-SA"/>
              </w:rPr>
            </w:pPr>
          </w:p>
        </w:tc>
        <w:tc>
          <w:tcPr>
            <w:tcW w:w="4613" w:type="dxa"/>
            <w:tcBorders>
              <w:top w:val="nil"/>
              <w:left w:val="single" w:sz="2" w:space="0" w:color="000000"/>
              <w:bottom w:val="single" w:sz="2" w:space="0" w:color="000000"/>
              <w:right w:val="nil"/>
            </w:tcBorders>
          </w:tcPr>
          <w:p>
            <w:pPr>
              <w:suppressLineNumbers/>
              <w:suppressAutoHyphens/>
              <w:snapToGrid w:val="0"/>
              <w:rPr>
                <w:rFonts w:cs="Calibri"/>
                <w:sz w:val="20"/>
                <w:lang w:eastAsia="ar-SA"/>
              </w:rPr>
            </w:pPr>
          </w:p>
        </w:tc>
        <w:tc>
          <w:tcPr>
            <w:tcW w:w="1174" w:type="dxa"/>
            <w:tcBorders>
              <w:top w:val="nil"/>
              <w:left w:val="single" w:sz="2" w:space="0" w:color="000000"/>
              <w:bottom w:val="single" w:sz="2" w:space="0" w:color="000000"/>
              <w:right w:val="single" w:sz="2" w:space="0" w:color="000000"/>
            </w:tcBorders>
          </w:tcPr>
          <w:p>
            <w:pPr>
              <w:suppressLineNumbers/>
              <w:suppressAutoHyphens/>
              <w:snapToGrid w:val="0"/>
              <w:rPr>
                <w:rFonts w:cs="Calibri"/>
                <w:sz w:val="20"/>
                <w:lang w:eastAsia="ar-SA"/>
              </w:rPr>
            </w:pPr>
          </w:p>
        </w:tc>
      </w:tr>
      <w:tr>
        <w:tc>
          <w:tcPr>
            <w:tcW w:w="3854" w:type="dxa"/>
            <w:gridSpan w:val="2"/>
            <w:tcBorders>
              <w:top w:val="nil"/>
              <w:left w:val="single" w:sz="2" w:space="0" w:color="000000"/>
              <w:bottom w:val="single" w:sz="2" w:space="0" w:color="000000"/>
              <w:right w:val="nil"/>
            </w:tcBorders>
            <w:hideMark/>
          </w:tcPr>
          <w:p>
            <w:pPr>
              <w:suppressLineNumbers/>
              <w:suppressAutoHyphens/>
              <w:snapToGrid w:val="0"/>
              <w:jc w:val="right"/>
              <w:rPr>
                <w:rFonts w:cs="Calibri"/>
                <w:sz w:val="20"/>
                <w:lang w:eastAsia="ar-SA"/>
              </w:rPr>
            </w:pPr>
            <w:r>
              <w:rPr>
                <w:rFonts w:cs="Calibri"/>
                <w:sz w:val="20"/>
                <w:lang w:eastAsia="ar-SA"/>
              </w:rPr>
              <w:t>Iš viso:</w:t>
            </w:r>
          </w:p>
        </w:tc>
        <w:tc>
          <w:tcPr>
            <w:tcW w:w="4613" w:type="dxa"/>
            <w:tcBorders>
              <w:top w:val="nil"/>
              <w:left w:val="single" w:sz="2" w:space="0" w:color="000000"/>
              <w:bottom w:val="single" w:sz="2" w:space="0" w:color="000000"/>
              <w:right w:val="nil"/>
            </w:tcBorders>
          </w:tcPr>
          <w:p>
            <w:pPr>
              <w:suppressLineNumbers/>
              <w:suppressAutoHyphens/>
              <w:snapToGrid w:val="0"/>
              <w:rPr>
                <w:rFonts w:cs="Calibri"/>
                <w:sz w:val="20"/>
                <w:lang w:eastAsia="ar-SA"/>
              </w:rPr>
            </w:pPr>
          </w:p>
        </w:tc>
        <w:tc>
          <w:tcPr>
            <w:tcW w:w="1174" w:type="dxa"/>
            <w:tcBorders>
              <w:top w:val="nil"/>
              <w:left w:val="single" w:sz="2" w:space="0" w:color="000000"/>
              <w:bottom w:val="single" w:sz="2" w:space="0" w:color="000000"/>
              <w:right w:val="single" w:sz="2" w:space="0" w:color="000000"/>
            </w:tcBorders>
          </w:tcPr>
          <w:p>
            <w:pPr>
              <w:suppressLineNumbers/>
              <w:suppressAutoHyphens/>
              <w:snapToGrid w:val="0"/>
              <w:rPr>
                <w:rFonts w:cs="Calibri"/>
                <w:sz w:val="20"/>
                <w:lang w:eastAsia="ar-SA"/>
              </w:rPr>
            </w:pPr>
          </w:p>
        </w:tc>
      </w:tr>
    </w:tbl>
    <w:p>
      <w:pPr>
        <w:rPr>
          <w:rFonts w:cs="Calibri"/>
          <w:b/>
          <w:bCs/>
          <w:lang w:eastAsia="ar-SA"/>
        </w:rPr>
      </w:pPr>
    </w:p>
    <w:p>
      <w:pPr>
        <w:pStyle w:val="PlainText"/>
        <w:rPr>
          <w:rFonts w:ascii="Times New Roman" w:eastAsia="MS Mincho" w:hAnsi="Times New Roman"/>
          <w:sz w:val="20"/>
          <w:i/>
          <w:iCs/>
        </w:rPr>
      </w:pPr>
      <w:r>
        <w:rPr>
          <w:rFonts w:ascii="Times New Roman" w:eastAsia="MS Mincho" w:hAnsi="Times New Roman"/>
          <w:sz w:val="20"/>
          <w:i/>
          <w:iCs/>
        </w:rPr>
        <w:t>Lentelės pakeitimai:</w:t>
      </w:r>
    </w:p>
    <w:p>
      <w:pPr>
        <w:pStyle w:val="PlainText"/>
        <w:jc w:val="both"/>
        <w:rPr>
          <w:rFonts w:ascii="Times New Roman" w:eastAsia="MS Mincho" w:hAnsi="Times New Roman"/>
          <w:sz w:val="20"/>
          <w:i/>
          <w:iCs/>
        </w:rPr>
      </w:pPr>
      <w:r>
        <w:rPr>
          <w:rFonts w:ascii="Times New Roman" w:eastAsia="MS Mincho" w:hAnsi="Times New Roman"/>
          <w:sz w:val="20"/>
          <w:i/>
          <w:iCs/>
        </w:rPr>
        <w:t xml:space="preserve">Nr. </w:t>
      </w:r>
      <w:fldSimple w:instr="HYPERLINK https://www.e-tar.lt/portal/legalAct.html?documentId=edc5df10be8011e9840ec0427c781bac">
        <w:r w:rsidRPr="00532B9F">
          <w:rPr>
            <w:rFonts w:ascii="Times New Roman" w:eastAsia="MS Mincho" w:hAnsi="Times New Roman"/>
            <w:sz w:val="20"/>
            <w:i/>
            <w:iCs/>
            <w:color w:val="0000FF" w:themeColor="hyperlink"/>
            <w:u w:val="single"/>
          </w:rPr>
          <w:t>D1-488</w:t>
        </w:r>
      </w:fldSimple>
      <w:r>
        <w:rPr>
          <w:rFonts w:ascii="Times New Roman" w:eastAsia="MS Mincho" w:hAnsi="Times New Roman"/>
          <w:sz w:val="20"/>
          <w:i/>
          <w:iCs/>
        </w:rPr>
        <w:t>,
2019-08-14,
paskelbta TAR 2019-08-14, i. k. 2019-13160            </w:t>
      </w:r>
    </w:p>
    <w:p/>
    <w:p>
      <w:pPr>
        <w:shd w:val="clear" w:color="000000" w:fill="auto"/>
        <w:ind w:firstLine="567"/>
        <w:jc w:val="both"/>
        <w:rPr>
          <w:b/>
        </w:rPr>
      </w:pPr>
      <w:r>
        <w:rPr>
          <w:b/>
        </w:rPr>
        <w:t>9</w:t>
      </w:r>
      <w:r>
        <w:rPr>
          <w:b/>
        </w:rPr>
        <w:t>. Investicijų ekonominio naudingumo įvertinimas</w:t>
      </w:r>
    </w:p>
    <w:p>
      <w:pPr>
        <w:shd w:val="clear" w:color="000000" w:fill="auto"/>
        <w:tabs>
          <w:tab w:val="left" w:pos="0"/>
        </w:tabs>
        <w:ind w:firstLine="567"/>
        <w:jc w:val="both"/>
        <w:rPr>
          <w:i/>
        </w:rPr>
      </w:pPr>
      <w:r>
        <w:t>(</w:t>
      </w:r>
      <w:r>
        <w:rPr>
          <w:i/>
        </w:rPr>
        <w:t>Projekto ekonominis naudingumas įvertinamas vadovaujantis Tvarkos aprašo 17 punkte</w:t>
      </w:r>
      <w:r>
        <w:rPr>
          <w:b/>
          <w:i/>
        </w:rPr>
        <w:t xml:space="preserve"> </w:t>
      </w:r>
      <w:r>
        <w:rPr>
          <w:i/>
        </w:rPr>
        <w:t>nurodyta metodika).</w:t>
      </w:r>
    </w:p>
    <w:p>
      <w:pPr>
        <w:shd w:val="clear" w:color="000000" w:fill="auto"/>
        <w:ind w:firstLine="8080"/>
      </w:pPr>
      <w:r>
        <w:t>8</w:t>
      </w:r>
      <w:r>
        <w:t xml:space="preserve"> lentelė</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76"/>
        <w:gridCol w:w="4026"/>
        <w:gridCol w:w="1420"/>
        <w:gridCol w:w="1458"/>
        <w:gridCol w:w="1934"/>
      </w:tblGrid>
      <w:tr>
        <w:tc>
          <w:tcPr>
            <w:tcW w:w="876" w:type="dxa"/>
            <w:tcBorders>
              <w:top w:val="single" w:sz="4" w:space="0" w:color="auto"/>
              <w:left w:val="single" w:sz="4" w:space="0" w:color="auto"/>
              <w:bottom w:val="single" w:sz="4" w:space="0" w:color="auto"/>
              <w:right w:val="single" w:sz="4" w:space="0" w:color="auto"/>
            </w:tcBorders>
            <w:vAlign w:val="center"/>
            <w:hideMark/>
          </w:tcPr>
          <w:p>
            <w:pPr>
              <w:shd w:val="clear" w:color="000000" w:fill="auto"/>
              <w:tabs>
                <w:tab w:val="left" w:pos="900"/>
              </w:tabs>
              <w:jc w:val="center"/>
              <w:rPr>
                <w:rFonts w:cs="Calibri"/>
                <w:sz w:val="20"/>
                <w:lang w:eastAsia="ar-SA"/>
              </w:rPr>
            </w:pPr>
            <w:r>
              <w:rPr>
                <w:sz w:val="20"/>
              </w:rPr>
              <w:t>Eil.</w:t>
            </w:r>
          </w:p>
          <w:p>
            <w:pPr>
              <w:shd w:val="clear" w:color="000000" w:fill="auto"/>
              <w:tabs>
                <w:tab w:val="left" w:pos="900"/>
              </w:tabs>
              <w:suppressAutoHyphens/>
              <w:jc w:val="center"/>
              <w:rPr>
                <w:rFonts w:cs="Calibri"/>
                <w:sz w:val="20"/>
                <w:lang w:eastAsia="ar-SA"/>
              </w:rPr>
            </w:pPr>
            <w:r>
              <w:rPr>
                <w:sz w:val="20"/>
              </w:rPr>
              <w:t>Nr.</w:t>
            </w:r>
          </w:p>
        </w:tc>
        <w:tc>
          <w:tcPr>
            <w:tcW w:w="4026" w:type="dxa"/>
            <w:tcBorders>
              <w:top w:val="single" w:sz="4" w:space="0" w:color="auto"/>
              <w:left w:val="single" w:sz="4" w:space="0" w:color="auto"/>
              <w:bottom w:val="single" w:sz="4" w:space="0" w:color="auto"/>
              <w:right w:val="single" w:sz="4" w:space="0" w:color="auto"/>
            </w:tcBorders>
            <w:vAlign w:val="center"/>
            <w:hideMark/>
          </w:tcPr>
          <w:p>
            <w:pPr>
              <w:shd w:val="clear" w:color="000000" w:fill="auto"/>
              <w:tabs>
                <w:tab w:val="left" w:pos="900"/>
              </w:tabs>
              <w:suppressAutoHyphens/>
              <w:jc w:val="center"/>
              <w:rPr>
                <w:rFonts w:cs="Calibri"/>
                <w:sz w:val="20"/>
                <w:lang w:eastAsia="ar-SA"/>
              </w:rPr>
            </w:pPr>
            <w:r>
              <w:rPr>
                <w:sz w:val="20"/>
              </w:rPr>
              <w:t>Rodikliai</w:t>
            </w:r>
          </w:p>
        </w:tc>
        <w:tc>
          <w:tcPr>
            <w:tcW w:w="1420" w:type="dxa"/>
            <w:tcBorders>
              <w:top w:val="single" w:sz="4" w:space="0" w:color="auto"/>
              <w:left w:val="single" w:sz="4" w:space="0" w:color="auto"/>
              <w:bottom w:val="single" w:sz="4" w:space="0" w:color="auto"/>
              <w:right w:val="single" w:sz="4" w:space="0" w:color="auto"/>
            </w:tcBorders>
            <w:vAlign w:val="center"/>
            <w:hideMark/>
          </w:tcPr>
          <w:p>
            <w:pPr>
              <w:shd w:val="clear" w:color="000000" w:fill="auto"/>
              <w:tabs>
                <w:tab w:val="left" w:pos="900"/>
              </w:tabs>
              <w:suppressAutoHyphens/>
              <w:jc w:val="center"/>
              <w:rPr>
                <w:rFonts w:cs="Calibri"/>
                <w:sz w:val="20"/>
                <w:lang w:eastAsia="ar-SA"/>
              </w:rPr>
            </w:pPr>
            <w:r>
              <w:rPr>
                <w:sz w:val="20"/>
              </w:rPr>
              <w:t>Mato vnt.</w:t>
            </w:r>
          </w:p>
        </w:tc>
        <w:tc>
          <w:tcPr>
            <w:tcW w:w="1458" w:type="dxa"/>
            <w:tcBorders>
              <w:top w:val="single" w:sz="4" w:space="0" w:color="auto"/>
              <w:left w:val="single" w:sz="4" w:space="0" w:color="auto"/>
              <w:bottom w:val="single" w:sz="4" w:space="0" w:color="auto"/>
              <w:right w:val="single" w:sz="4" w:space="0" w:color="auto"/>
            </w:tcBorders>
            <w:vAlign w:val="center"/>
            <w:hideMark/>
          </w:tcPr>
          <w:p>
            <w:pPr>
              <w:shd w:val="clear" w:color="000000" w:fill="auto"/>
              <w:tabs>
                <w:tab w:val="left" w:pos="900"/>
              </w:tabs>
              <w:suppressAutoHyphens/>
              <w:jc w:val="center"/>
              <w:rPr>
                <w:rFonts w:cs="Calibri"/>
                <w:sz w:val="20"/>
                <w:lang w:eastAsia="ar-SA"/>
              </w:rPr>
            </w:pPr>
            <w:r>
              <w:rPr>
                <w:sz w:val="20"/>
              </w:rPr>
              <w:t>Rodiklio reikšmė</w:t>
            </w:r>
          </w:p>
        </w:tc>
        <w:tc>
          <w:tcPr>
            <w:tcW w:w="1934" w:type="dxa"/>
            <w:tcBorders>
              <w:top w:val="single" w:sz="4" w:space="0" w:color="auto"/>
              <w:left w:val="single" w:sz="4" w:space="0" w:color="auto"/>
              <w:bottom w:val="single" w:sz="4" w:space="0" w:color="auto"/>
              <w:right w:val="single" w:sz="4" w:space="0" w:color="auto"/>
            </w:tcBorders>
            <w:vAlign w:val="center"/>
            <w:hideMark/>
          </w:tcPr>
          <w:p>
            <w:pPr>
              <w:shd w:val="clear" w:color="000000" w:fill="auto"/>
              <w:tabs>
                <w:tab w:val="left" w:pos="900"/>
              </w:tabs>
              <w:suppressAutoHyphens/>
              <w:jc w:val="center"/>
              <w:rPr>
                <w:rFonts w:cs="Calibri"/>
                <w:sz w:val="20"/>
                <w:lang w:eastAsia="ar-SA"/>
              </w:rPr>
            </w:pPr>
            <w:r>
              <w:rPr>
                <w:sz w:val="20"/>
              </w:rPr>
              <w:t>Pastabos</w:t>
            </w:r>
          </w:p>
        </w:tc>
      </w:tr>
      <w:tr>
        <w:tc>
          <w:tcPr>
            <w:tcW w:w="876" w:type="dxa"/>
            <w:tcBorders>
              <w:top w:val="single" w:sz="4" w:space="0" w:color="auto"/>
              <w:left w:val="single" w:sz="4" w:space="0" w:color="auto"/>
              <w:bottom w:val="single" w:sz="4" w:space="0" w:color="auto"/>
              <w:right w:val="single" w:sz="4" w:space="0" w:color="auto"/>
            </w:tcBorders>
            <w:hideMark/>
          </w:tcPr>
          <w:p>
            <w:pPr>
              <w:shd w:val="clear" w:color="000000" w:fill="auto"/>
              <w:tabs>
                <w:tab w:val="left" w:pos="900"/>
              </w:tabs>
              <w:suppressAutoHyphens/>
              <w:jc w:val="center"/>
              <w:rPr>
                <w:rFonts w:cs="Calibri"/>
                <w:sz w:val="20"/>
                <w:lang w:eastAsia="ar-SA"/>
              </w:rPr>
            </w:pPr>
            <w:r>
              <w:rPr>
                <w:sz w:val="20"/>
              </w:rPr>
              <w:t>1</w:t>
            </w:r>
          </w:p>
        </w:tc>
        <w:tc>
          <w:tcPr>
            <w:tcW w:w="4026" w:type="dxa"/>
            <w:tcBorders>
              <w:top w:val="single" w:sz="4" w:space="0" w:color="auto"/>
              <w:left w:val="single" w:sz="4" w:space="0" w:color="auto"/>
              <w:bottom w:val="single" w:sz="4" w:space="0" w:color="auto"/>
              <w:right w:val="single" w:sz="4" w:space="0" w:color="auto"/>
            </w:tcBorders>
            <w:hideMark/>
          </w:tcPr>
          <w:p>
            <w:pPr>
              <w:shd w:val="clear" w:color="000000" w:fill="auto"/>
              <w:tabs>
                <w:tab w:val="left" w:pos="900"/>
              </w:tabs>
              <w:suppressAutoHyphens/>
              <w:jc w:val="center"/>
              <w:rPr>
                <w:rFonts w:cs="Calibri"/>
                <w:sz w:val="20"/>
                <w:lang w:eastAsia="ar-SA"/>
              </w:rPr>
            </w:pPr>
            <w:r>
              <w:rPr>
                <w:sz w:val="20"/>
              </w:rPr>
              <w:t>2</w:t>
            </w:r>
          </w:p>
        </w:tc>
        <w:tc>
          <w:tcPr>
            <w:tcW w:w="1420" w:type="dxa"/>
            <w:tcBorders>
              <w:top w:val="single" w:sz="4" w:space="0" w:color="auto"/>
              <w:left w:val="single" w:sz="4" w:space="0" w:color="auto"/>
              <w:bottom w:val="single" w:sz="4" w:space="0" w:color="auto"/>
              <w:right w:val="single" w:sz="4" w:space="0" w:color="auto"/>
            </w:tcBorders>
            <w:hideMark/>
          </w:tcPr>
          <w:p>
            <w:pPr>
              <w:shd w:val="clear" w:color="000000" w:fill="auto"/>
              <w:tabs>
                <w:tab w:val="left" w:pos="900"/>
              </w:tabs>
              <w:suppressAutoHyphens/>
              <w:jc w:val="center"/>
              <w:rPr>
                <w:rFonts w:cs="Calibri"/>
                <w:sz w:val="20"/>
                <w:lang w:eastAsia="ar-SA"/>
              </w:rPr>
            </w:pPr>
            <w:r>
              <w:rPr>
                <w:sz w:val="20"/>
              </w:rPr>
              <w:t>3</w:t>
            </w:r>
          </w:p>
        </w:tc>
        <w:tc>
          <w:tcPr>
            <w:tcW w:w="1458" w:type="dxa"/>
            <w:tcBorders>
              <w:top w:val="single" w:sz="4" w:space="0" w:color="auto"/>
              <w:left w:val="single" w:sz="4" w:space="0" w:color="auto"/>
              <w:bottom w:val="single" w:sz="4" w:space="0" w:color="auto"/>
              <w:right w:val="single" w:sz="4" w:space="0" w:color="auto"/>
            </w:tcBorders>
            <w:hideMark/>
          </w:tcPr>
          <w:p>
            <w:pPr>
              <w:shd w:val="clear" w:color="000000" w:fill="auto"/>
              <w:tabs>
                <w:tab w:val="left" w:pos="900"/>
              </w:tabs>
              <w:suppressAutoHyphens/>
              <w:jc w:val="center"/>
              <w:rPr>
                <w:rFonts w:cs="Calibri"/>
                <w:sz w:val="20"/>
                <w:lang w:eastAsia="ar-SA"/>
              </w:rPr>
            </w:pPr>
            <w:r>
              <w:rPr>
                <w:sz w:val="20"/>
              </w:rPr>
              <w:t>4</w:t>
            </w:r>
          </w:p>
        </w:tc>
        <w:tc>
          <w:tcPr>
            <w:tcW w:w="1934" w:type="dxa"/>
            <w:tcBorders>
              <w:top w:val="single" w:sz="4" w:space="0" w:color="auto"/>
              <w:left w:val="single" w:sz="4" w:space="0" w:color="auto"/>
              <w:bottom w:val="single" w:sz="4" w:space="0" w:color="auto"/>
              <w:right w:val="single" w:sz="4" w:space="0" w:color="auto"/>
            </w:tcBorders>
            <w:hideMark/>
          </w:tcPr>
          <w:p>
            <w:pPr>
              <w:shd w:val="clear" w:color="000000" w:fill="auto"/>
              <w:tabs>
                <w:tab w:val="left" w:pos="900"/>
              </w:tabs>
              <w:suppressAutoHyphens/>
              <w:jc w:val="center"/>
              <w:rPr>
                <w:rFonts w:cs="Calibri"/>
                <w:sz w:val="20"/>
                <w:lang w:eastAsia="ar-SA"/>
              </w:rPr>
            </w:pPr>
            <w:r>
              <w:rPr>
                <w:sz w:val="20"/>
              </w:rPr>
              <w:t>5</w:t>
            </w:r>
          </w:p>
        </w:tc>
      </w:tr>
      <w:tr>
        <w:tc>
          <w:tcPr>
            <w:tcW w:w="876" w:type="dxa"/>
            <w:tcBorders>
              <w:top w:val="single" w:sz="4" w:space="0" w:color="auto"/>
              <w:left w:val="single" w:sz="4" w:space="0" w:color="auto"/>
              <w:bottom w:val="single" w:sz="4" w:space="0" w:color="auto"/>
              <w:right w:val="single" w:sz="4" w:space="0" w:color="auto"/>
            </w:tcBorders>
            <w:hideMark/>
          </w:tcPr>
          <w:p>
            <w:pPr>
              <w:shd w:val="clear" w:color="000000" w:fill="auto"/>
              <w:tabs>
                <w:tab w:val="left" w:pos="900"/>
              </w:tabs>
              <w:suppressAutoHyphens/>
              <w:jc w:val="both"/>
              <w:rPr>
                <w:rFonts w:cs="Calibri"/>
                <w:sz w:val="20"/>
                <w:lang w:eastAsia="ar-SA"/>
              </w:rPr>
            </w:pPr>
            <w:r>
              <w:rPr>
                <w:sz w:val="20"/>
              </w:rPr>
              <w:t>9.1.</w:t>
            </w:r>
          </w:p>
        </w:tc>
        <w:tc>
          <w:tcPr>
            <w:tcW w:w="4026" w:type="dxa"/>
            <w:tcBorders>
              <w:top w:val="single" w:sz="4" w:space="0" w:color="auto"/>
              <w:left w:val="single" w:sz="4" w:space="0" w:color="auto"/>
              <w:bottom w:val="single" w:sz="4" w:space="0" w:color="auto"/>
              <w:right w:val="single" w:sz="4" w:space="0" w:color="auto"/>
            </w:tcBorders>
            <w:hideMark/>
          </w:tcPr>
          <w:p>
            <w:pPr>
              <w:shd w:val="clear" w:color="000000" w:fill="auto"/>
              <w:tabs>
                <w:tab w:val="left" w:pos="900"/>
              </w:tabs>
              <w:suppressAutoHyphens/>
              <w:jc w:val="both"/>
              <w:rPr>
                <w:rFonts w:cs="Calibri"/>
                <w:sz w:val="20"/>
                <w:lang w:eastAsia="ar-SA"/>
              </w:rPr>
            </w:pPr>
            <w:r>
              <w:rPr>
                <w:sz w:val="20"/>
              </w:rPr>
              <w:t>investicijų paprastojo atsipirkimo laikas:</w:t>
            </w:r>
          </w:p>
        </w:tc>
        <w:tc>
          <w:tcPr>
            <w:tcW w:w="1420" w:type="dxa"/>
            <w:tcBorders>
              <w:top w:val="single" w:sz="4" w:space="0" w:color="auto"/>
              <w:left w:val="single" w:sz="4" w:space="0" w:color="auto"/>
              <w:bottom w:val="single" w:sz="4" w:space="0" w:color="auto"/>
              <w:right w:val="single" w:sz="4" w:space="0" w:color="auto"/>
            </w:tcBorders>
          </w:tcPr>
          <w:p>
            <w:pPr>
              <w:shd w:val="clear" w:color="000000" w:fill="auto"/>
              <w:tabs>
                <w:tab w:val="left" w:pos="900"/>
              </w:tabs>
              <w:suppressAutoHyphens/>
              <w:jc w:val="both"/>
              <w:rPr>
                <w:rFonts w:cs="Calibri"/>
                <w:sz w:val="20"/>
                <w:lang w:eastAsia="ar-SA"/>
              </w:rPr>
            </w:pPr>
          </w:p>
        </w:tc>
        <w:tc>
          <w:tcPr>
            <w:tcW w:w="1458" w:type="dxa"/>
            <w:tcBorders>
              <w:top w:val="single" w:sz="4" w:space="0" w:color="auto"/>
              <w:left w:val="single" w:sz="4" w:space="0" w:color="auto"/>
              <w:bottom w:val="single" w:sz="4" w:space="0" w:color="auto"/>
              <w:right w:val="single" w:sz="4" w:space="0" w:color="auto"/>
            </w:tcBorders>
          </w:tcPr>
          <w:p>
            <w:pPr>
              <w:shd w:val="clear" w:color="000000" w:fill="auto"/>
              <w:tabs>
                <w:tab w:val="left" w:pos="900"/>
              </w:tabs>
              <w:suppressAutoHyphens/>
              <w:jc w:val="both"/>
              <w:rPr>
                <w:rFonts w:cs="Calibri"/>
                <w:sz w:val="20"/>
                <w:lang w:eastAsia="ar-SA"/>
              </w:rPr>
            </w:pPr>
          </w:p>
        </w:tc>
        <w:tc>
          <w:tcPr>
            <w:tcW w:w="1934" w:type="dxa"/>
            <w:tcBorders>
              <w:top w:val="single" w:sz="4" w:space="0" w:color="auto"/>
              <w:left w:val="single" w:sz="4" w:space="0" w:color="auto"/>
              <w:bottom w:val="single" w:sz="4" w:space="0" w:color="auto"/>
              <w:right w:val="single" w:sz="4" w:space="0" w:color="auto"/>
            </w:tcBorders>
          </w:tcPr>
          <w:p>
            <w:pPr>
              <w:shd w:val="clear" w:color="000000" w:fill="auto"/>
              <w:tabs>
                <w:tab w:val="left" w:pos="900"/>
              </w:tabs>
              <w:suppressAutoHyphens/>
              <w:jc w:val="both"/>
              <w:rPr>
                <w:rFonts w:cs="Calibri"/>
                <w:sz w:val="20"/>
                <w:lang w:eastAsia="ar-SA"/>
              </w:rPr>
            </w:pPr>
          </w:p>
        </w:tc>
      </w:tr>
      <w:tr>
        <w:tc>
          <w:tcPr>
            <w:tcW w:w="876" w:type="dxa"/>
            <w:tcBorders>
              <w:top w:val="single" w:sz="4" w:space="0" w:color="auto"/>
              <w:left w:val="single" w:sz="4" w:space="0" w:color="auto"/>
              <w:bottom w:val="single" w:sz="4" w:space="0" w:color="auto"/>
              <w:right w:val="single" w:sz="4" w:space="0" w:color="auto"/>
            </w:tcBorders>
            <w:hideMark/>
          </w:tcPr>
          <w:p>
            <w:pPr>
              <w:shd w:val="clear" w:color="000000" w:fill="auto"/>
              <w:tabs>
                <w:tab w:val="left" w:pos="900"/>
              </w:tabs>
              <w:suppressAutoHyphens/>
              <w:jc w:val="both"/>
              <w:rPr>
                <w:rFonts w:cs="Calibri"/>
                <w:sz w:val="20"/>
                <w:lang w:eastAsia="ar-SA"/>
              </w:rPr>
            </w:pPr>
            <w:r>
              <w:rPr>
                <w:sz w:val="20"/>
              </w:rPr>
              <w:t>9.1.1.</w:t>
            </w:r>
          </w:p>
        </w:tc>
        <w:tc>
          <w:tcPr>
            <w:tcW w:w="4026" w:type="dxa"/>
            <w:tcBorders>
              <w:top w:val="single" w:sz="4" w:space="0" w:color="auto"/>
              <w:left w:val="single" w:sz="4" w:space="0" w:color="auto"/>
              <w:bottom w:val="single" w:sz="4" w:space="0" w:color="auto"/>
              <w:right w:val="single" w:sz="4" w:space="0" w:color="auto"/>
            </w:tcBorders>
            <w:hideMark/>
          </w:tcPr>
          <w:p>
            <w:pPr>
              <w:shd w:val="clear" w:color="000000" w:fill="auto"/>
              <w:tabs>
                <w:tab w:val="left" w:pos="900"/>
              </w:tabs>
              <w:suppressAutoHyphens/>
              <w:jc w:val="both"/>
              <w:rPr>
                <w:rFonts w:cs="Calibri"/>
                <w:sz w:val="20"/>
                <w:lang w:eastAsia="ar-SA"/>
              </w:rPr>
            </w:pPr>
            <w:r>
              <w:rPr>
                <w:sz w:val="20"/>
              </w:rPr>
              <w:t>pagal suvestinę kainą</w:t>
            </w:r>
          </w:p>
        </w:tc>
        <w:tc>
          <w:tcPr>
            <w:tcW w:w="1420" w:type="dxa"/>
            <w:tcBorders>
              <w:top w:val="single" w:sz="4" w:space="0" w:color="auto"/>
              <w:left w:val="single" w:sz="4" w:space="0" w:color="auto"/>
              <w:bottom w:val="single" w:sz="4" w:space="0" w:color="auto"/>
              <w:right w:val="single" w:sz="4" w:space="0" w:color="auto"/>
            </w:tcBorders>
            <w:hideMark/>
          </w:tcPr>
          <w:p>
            <w:pPr>
              <w:shd w:val="clear" w:color="000000" w:fill="auto"/>
              <w:tabs>
                <w:tab w:val="left" w:pos="900"/>
              </w:tabs>
              <w:suppressAutoHyphens/>
              <w:jc w:val="both"/>
              <w:rPr>
                <w:rFonts w:cs="Calibri"/>
                <w:sz w:val="20"/>
                <w:lang w:eastAsia="ar-SA"/>
              </w:rPr>
            </w:pPr>
            <w:r>
              <w:rPr>
                <w:sz w:val="20"/>
              </w:rPr>
              <w:t>metais</w:t>
            </w:r>
          </w:p>
        </w:tc>
        <w:tc>
          <w:tcPr>
            <w:tcW w:w="1458" w:type="dxa"/>
            <w:tcBorders>
              <w:top w:val="single" w:sz="4" w:space="0" w:color="auto"/>
              <w:left w:val="single" w:sz="4" w:space="0" w:color="auto"/>
              <w:bottom w:val="single" w:sz="4" w:space="0" w:color="auto"/>
              <w:right w:val="single" w:sz="4" w:space="0" w:color="auto"/>
            </w:tcBorders>
          </w:tcPr>
          <w:p>
            <w:pPr>
              <w:shd w:val="clear" w:color="000000" w:fill="auto"/>
              <w:tabs>
                <w:tab w:val="left" w:pos="900"/>
              </w:tabs>
              <w:suppressAutoHyphens/>
              <w:jc w:val="both"/>
              <w:rPr>
                <w:rFonts w:cs="Calibri"/>
                <w:sz w:val="20"/>
                <w:lang w:eastAsia="ar-SA"/>
              </w:rPr>
            </w:pPr>
          </w:p>
        </w:tc>
        <w:tc>
          <w:tcPr>
            <w:tcW w:w="1934" w:type="dxa"/>
            <w:tcBorders>
              <w:top w:val="single" w:sz="4" w:space="0" w:color="auto"/>
              <w:left w:val="single" w:sz="4" w:space="0" w:color="auto"/>
              <w:bottom w:val="single" w:sz="4" w:space="0" w:color="auto"/>
              <w:right w:val="single" w:sz="4" w:space="0" w:color="auto"/>
            </w:tcBorders>
          </w:tcPr>
          <w:p>
            <w:pPr>
              <w:shd w:val="clear" w:color="000000" w:fill="auto"/>
              <w:tabs>
                <w:tab w:val="left" w:pos="900"/>
              </w:tabs>
              <w:suppressAutoHyphens/>
              <w:jc w:val="both"/>
              <w:rPr>
                <w:rFonts w:cs="Calibri"/>
                <w:sz w:val="20"/>
                <w:lang w:eastAsia="ar-SA"/>
              </w:rPr>
            </w:pPr>
          </w:p>
        </w:tc>
      </w:tr>
      <w:tr>
        <w:tc>
          <w:tcPr>
            <w:tcW w:w="876" w:type="dxa"/>
            <w:tcBorders>
              <w:top w:val="single" w:sz="4" w:space="0" w:color="auto"/>
              <w:left w:val="single" w:sz="4" w:space="0" w:color="auto"/>
              <w:bottom w:val="single" w:sz="4" w:space="0" w:color="auto"/>
              <w:right w:val="single" w:sz="4" w:space="0" w:color="auto"/>
            </w:tcBorders>
            <w:hideMark/>
          </w:tcPr>
          <w:p>
            <w:pPr>
              <w:shd w:val="clear" w:color="000000" w:fill="auto"/>
              <w:tabs>
                <w:tab w:val="left" w:pos="900"/>
              </w:tabs>
              <w:suppressAutoHyphens/>
              <w:jc w:val="both"/>
              <w:rPr>
                <w:rFonts w:cs="Calibri"/>
                <w:sz w:val="20"/>
                <w:lang w:eastAsia="ar-SA"/>
              </w:rPr>
            </w:pPr>
            <w:r>
              <w:rPr>
                <w:sz w:val="20"/>
              </w:rPr>
              <w:t>9.2.</w:t>
            </w:r>
          </w:p>
        </w:tc>
        <w:tc>
          <w:tcPr>
            <w:tcW w:w="4026" w:type="dxa"/>
            <w:tcBorders>
              <w:top w:val="single" w:sz="4" w:space="0" w:color="auto"/>
              <w:left w:val="single" w:sz="4" w:space="0" w:color="auto"/>
              <w:bottom w:val="single" w:sz="4" w:space="0" w:color="auto"/>
              <w:right w:val="single" w:sz="4" w:space="0" w:color="auto"/>
            </w:tcBorders>
            <w:hideMark/>
          </w:tcPr>
          <w:p>
            <w:pPr>
              <w:shd w:val="clear" w:color="000000" w:fill="auto"/>
              <w:tabs>
                <w:tab w:val="left" w:pos="900"/>
              </w:tabs>
              <w:suppressAutoHyphens/>
              <w:jc w:val="both"/>
              <w:rPr>
                <w:rFonts w:cs="Calibri"/>
                <w:sz w:val="20"/>
                <w:lang w:eastAsia="ar-SA"/>
              </w:rPr>
            </w:pPr>
            <w:r>
              <w:rPr>
                <w:sz w:val="20"/>
              </w:rPr>
              <w:t>atėmus valstybės paramą</w:t>
            </w:r>
          </w:p>
        </w:tc>
        <w:tc>
          <w:tcPr>
            <w:tcW w:w="1420" w:type="dxa"/>
            <w:tcBorders>
              <w:top w:val="single" w:sz="4" w:space="0" w:color="auto"/>
              <w:left w:val="single" w:sz="4" w:space="0" w:color="auto"/>
              <w:bottom w:val="single" w:sz="4" w:space="0" w:color="auto"/>
              <w:right w:val="single" w:sz="4" w:space="0" w:color="auto"/>
            </w:tcBorders>
            <w:hideMark/>
          </w:tcPr>
          <w:p>
            <w:pPr>
              <w:shd w:val="clear" w:color="000000" w:fill="auto"/>
              <w:tabs>
                <w:tab w:val="left" w:pos="900"/>
              </w:tabs>
              <w:suppressAutoHyphens/>
              <w:jc w:val="both"/>
              <w:rPr>
                <w:rFonts w:cs="Calibri"/>
                <w:sz w:val="20"/>
                <w:lang w:eastAsia="ar-SA"/>
              </w:rPr>
            </w:pPr>
            <w:r>
              <w:rPr>
                <w:sz w:val="20"/>
              </w:rPr>
              <w:t>metais</w:t>
            </w:r>
          </w:p>
        </w:tc>
        <w:tc>
          <w:tcPr>
            <w:tcW w:w="1458" w:type="dxa"/>
            <w:tcBorders>
              <w:top w:val="single" w:sz="4" w:space="0" w:color="auto"/>
              <w:left w:val="single" w:sz="4" w:space="0" w:color="auto"/>
              <w:bottom w:val="single" w:sz="4" w:space="0" w:color="auto"/>
              <w:right w:val="single" w:sz="4" w:space="0" w:color="auto"/>
            </w:tcBorders>
          </w:tcPr>
          <w:p>
            <w:pPr>
              <w:shd w:val="clear" w:color="000000" w:fill="auto"/>
              <w:tabs>
                <w:tab w:val="left" w:pos="900"/>
              </w:tabs>
              <w:suppressAutoHyphens/>
              <w:jc w:val="both"/>
              <w:rPr>
                <w:rFonts w:cs="Calibri"/>
                <w:sz w:val="20"/>
                <w:lang w:eastAsia="ar-SA"/>
              </w:rPr>
            </w:pPr>
          </w:p>
        </w:tc>
        <w:tc>
          <w:tcPr>
            <w:tcW w:w="1934" w:type="dxa"/>
            <w:tcBorders>
              <w:top w:val="single" w:sz="4" w:space="0" w:color="auto"/>
              <w:left w:val="single" w:sz="4" w:space="0" w:color="auto"/>
              <w:bottom w:val="single" w:sz="4" w:space="0" w:color="auto"/>
              <w:right w:val="single" w:sz="4" w:space="0" w:color="auto"/>
            </w:tcBorders>
          </w:tcPr>
          <w:p>
            <w:pPr>
              <w:shd w:val="clear" w:color="000000" w:fill="auto"/>
              <w:tabs>
                <w:tab w:val="left" w:pos="900"/>
              </w:tabs>
              <w:suppressAutoHyphens/>
              <w:jc w:val="both"/>
              <w:rPr>
                <w:rFonts w:cs="Calibri"/>
                <w:sz w:val="20"/>
                <w:lang w:eastAsia="ar-SA"/>
              </w:rPr>
            </w:pPr>
          </w:p>
        </w:tc>
      </w:tr>
      <w:tr>
        <w:tc>
          <w:tcPr>
            <w:tcW w:w="876" w:type="dxa"/>
            <w:tcBorders>
              <w:top w:val="single" w:sz="4" w:space="0" w:color="auto"/>
              <w:left w:val="single" w:sz="4" w:space="0" w:color="auto"/>
              <w:bottom w:val="single" w:sz="4" w:space="0" w:color="auto"/>
              <w:right w:val="single" w:sz="4" w:space="0" w:color="auto"/>
            </w:tcBorders>
            <w:hideMark/>
          </w:tcPr>
          <w:p>
            <w:pPr>
              <w:shd w:val="clear" w:color="000000" w:fill="auto"/>
              <w:tabs>
                <w:tab w:val="left" w:pos="900"/>
              </w:tabs>
              <w:suppressAutoHyphens/>
              <w:jc w:val="both"/>
              <w:rPr>
                <w:rFonts w:cs="Calibri"/>
                <w:sz w:val="20"/>
                <w:lang w:eastAsia="ar-SA"/>
              </w:rPr>
            </w:pPr>
            <w:r>
              <w:rPr>
                <w:sz w:val="20"/>
              </w:rPr>
              <w:t>9.2.</w:t>
            </w:r>
          </w:p>
        </w:tc>
        <w:tc>
          <w:tcPr>
            <w:tcW w:w="4026" w:type="dxa"/>
            <w:tcBorders>
              <w:top w:val="single" w:sz="4" w:space="0" w:color="auto"/>
              <w:left w:val="single" w:sz="4" w:space="0" w:color="auto"/>
              <w:bottom w:val="single" w:sz="4" w:space="0" w:color="auto"/>
              <w:right w:val="single" w:sz="4" w:space="0" w:color="auto"/>
            </w:tcBorders>
            <w:hideMark/>
          </w:tcPr>
          <w:p>
            <w:pPr>
              <w:shd w:val="clear" w:color="000000" w:fill="auto"/>
              <w:tabs>
                <w:tab w:val="left" w:pos="900"/>
              </w:tabs>
              <w:suppressAutoHyphens/>
              <w:jc w:val="both"/>
              <w:rPr>
                <w:rFonts w:cs="Calibri"/>
                <w:sz w:val="20"/>
                <w:lang w:eastAsia="ar-SA"/>
              </w:rPr>
            </w:pPr>
            <w:r>
              <w:rPr>
                <w:sz w:val="20"/>
              </w:rPr>
              <w:t>energiją taupančių priemonių atsipirkimo laikas:</w:t>
            </w:r>
          </w:p>
        </w:tc>
        <w:tc>
          <w:tcPr>
            <w:tcW w:w="1420" w:type="dxa"/>
            <w:tcBorders>
              <w:top w:val="single" w:sz="4" w:space="0" w:color="auto"/>
              <w:left w:val="single" w:sz="4" w:space="0" w:color="auto"/>
              <w:bottom w:val="single" w:sz="4" w:space="0" w:color="auto"/>
              <w:right w:val="single" w:sz="4" w:space="0" w:color="auto"/>
            </w:tcBorders>
          </w:tcPr>
          <w:p>
            <w:pPr>
              <w:shd w:val="clear" w:color="000000" w:fill="auto"/>
              <w:tabs>
                <w:tab w:val="left" w:pos="900"/>
              </w:tabs>
              <w:suppressAutoHyphens/>
              <w:jc w:val="both"/>
              <w:rPr>
                <w:rFonts w:cs="Calibri"/>
                <w:sz w:val="20"/>
                <w:lang w:eastAsia="ar-SA"/>
              </w:rPr>
            </w:pPr>
          </w:p>
        </w:tc>
        <w:tc>
          <w:tcPr>
            <w:tcW w:w="1458" w:type="dxa"/>
            <w:tcBorders>
              <w:top w:val="single" w:sz="4" w:space="0" w:color="auto"/>
              <w:left w:val="single" w:sz="4" w:space="0" w:color="auto"/>
              <w:bottom w:val="single" w:sz="4" w:space="0" w:color="auto"/>
              <w:right w:val="single" w:sz="4" w:space="0" w:color="auto"/>
            </w:tcBorders>
          </w:tcPr>
          <w:p>
            <w:pPr>
              <w:shd w:val="clear" w:color="000000" w:fill="auto"/>
              <w:tabs>
                <w:tab w:val="left" w:pos="900"/>
              </w:tabs>
              <w:suppressAutoHyphens/>
              <w:jc w:val="both"/>
              <w:rPr>
                <w:rFonts w:cs="Calibri"/>
                <w:sz w:val="20"/>
                <w:lang w:eastAsia="ar-SA"/>
              </w:rPr>
            </w:pPr>
          </w:p>
        </w:tc>
        <w:tc>
          <w:tcPr>
            <w:tcW w:w="1934" w:type="dxa"/>
            <w:tcBorders>
              <w:top w:val="single" w:sz="4" w:space="0" w:color="auto"/>
              <w:left w:val="single" w:sz="4" w:space="0" w:color="auto"/>
              <w:bottom w:val="single" w:sz="4" w:space="0" w:color="auto"/>
              <w:right w:val="single" w:sz="4" w:space="0" w:color="auto"/>
            </w:tcBorders>
          </w:tcPr>
          <w:p>
            <w:pPr>
              <w:shd w:val="clear" w:color="000000" w:fill="auto"/>
              <w:tabs>
                <w:tab w:val="left" w:pos="900"/>
              </w:tabs>
              <w:suppressAutoHyphens/>
              <w:jc w:val="both"/>
              <w:rPr>
                <w:rFonts w:cs="Calibri"/>
                <w:sz w:val="20"/>
                <w:lang w:eastAsia="ar-SA"/>
              </w:rPr>
            </w:pPr>
          </w:p>
        </w:tc>
      </w:tr>
      <w:tr>
        <w:tc>
          <w:tcPr>
            <w:tcW w:w="876" w:type="dxa"/>
            <w:tcBorders>
              <w:top w:val="single" w:sz="4" w:space="0" w:color="auto"/>
              <w:left w:val="single" w:sz="4" w:space="0" w:color="auto"/>
              <w:bottom w:val="single" w:sz="4" w:space="0" w:color="auto"/>
              <w:right w:val="single" w:sz="4" w:space="0" w:color="auto"/>
            </w:tcBorders>
            <w:hideMark/>
          </w:tcPr>
          <w:p>
            <w:pPr>
              <w:shd w:val="clear" w:color="000000" w:fill="auto"/>
              <w:tabs>
                <w:tab w:val="left" w:pos="900"/>
              </w:tabs>
              <w:suppressAutoHyphens/>
              <w:jc w:val="both"/>
              <w:rPr>
                <w:rFonts w:cs="Calibri"/>
                <w:sz w:val="20"/>
                <w:lang w:eastAsia="ar-SA"/>
              </w:rPr>
            </w:pPr>
            <w:r>
              <w:rPr>
                <w:sz w:val="20"/>
              </w:rPr>
              <w:t>9.2.1.</w:t>
            </w:r>
          </w:p>
        </w:tc>
        <w:tc>
          <w:tcPr>
            <w:tcW w:w="4026" w:type="dxa"/>
            <w:tcBorders>
              <w:top w:val="single" w:sz="4" w:space="0" w:color="auto"/>
              <w:left w:val="single" w:sz="4" w:space="0" w:color="auto"/>
              <w:bottom w:val="single" w:sz="4" w:space="0" w:color="auto"/>
              <w:right w:val="single" w:sz="4" w:space="0" w:color="auto"/>
            </w:tcBorders>
            <w:hideMark/>
          </w:tcPr>
          <w:p>
            <w:pPr>
              <w:shd w:val="clear" w:color="000000" w:fill="auto"/>
              <w:tabs>
                <w:tab w:val="left" w:pos="900"/>
              </w:tabs>
              <w:suppressAutoHyphens/>
              <w:jc w:val="both"/>
              <w:rPr>
                <w:rFonts w:cs="Calibri"/>
                <w:sz w:val="20"/>
                <w:lang w:eastAsia="ar-SA"/>
              </w:rPr>
            </w:pPr>
            <w:r>
              <w:rPr>
                <w:sz w:val="20"/>
              </w:rPr>
              <w:t>pagal suminę kainą</w:t>
            </w:r>
          </w:p>
        </w:tc>
        <w:tc>
          <w:tcPr>
            <w:tcW w:w="1420" w:type="dxa"/>
            <w:tcBorders>
              <w:top w:val="single" w:sz="4" w:space="0" w:color="auto"/>
              <w:left w:val="single" w:sz="4" w:space="0" w:color="auto"/>
              <w:bottom w:val="single" w:sz="4" w:space="0" w:color="auto"/>
              <w:right w:val="single" w:sz="4" w:space="0" w:color="auto"/>
            </w:tcBorders>
            <w:hideMark/>
          </w:tcPr>
          <w:p>
            <w:pPr>
              <w:shd w:val="clear" w:color="000000" w:fill="auto"/>
              <w:tabs>
                <w:tab w:val="left" w:pos="900"/>
              </w:tabs>
              <w:suppressAutoHyphens/>
              <w:jc w:val="both"/>
              <w:rPr>
                <w:rFonts w:cs="Calibri"/>
                <w:sz w:val="20"/>
                <w:lang w:eastAsia="ar-SA"/>
              </w:rPr>
            </w:pPr>
            <w:r>
              <w:rPr>
                <w:sz w:val="20"/>
              </w:rPr>
              <w:t>metais</w:t>
            </w:r>
          </w:p>
        </w:tc>
        <w:tc>
          <w:tcPr>
            <w:tcW w:w="1458" w:type="dxa"/>
            <w:tcBorders>
              <w:top w:val="single" w:sz="4" w:space="0" w:color="auto"/>
              <w:left w:val="single" w:sz="4" w:space="0" w:color="auto"/>
              <w:bottom w:val="single" w:sz="4" w:space="0" w:color="auto"/>
              <w:right w:val="single" w:sz="4" w:space="0" w:color="auto"/>
            </w:tcBorders>
          </w:tcPr>
          <w:p>
            <w:pPr>
              <w:shd w:val="clear" w:color="000000" w:fill="auto"/>
              <w:tabs>
                <w:tab w:val="left" w:pos="900"/>
              </w:tabs>
              <w:suppressAutoHyphens/>
              <w:jc w:val="both"/>
              <w:rPr>
                <w:rFonts w:cs="Calibri"/>
                <w:sz w:val="20"/>
                <w:lang w:eastAsia="ar-SA"/>
              </w:rPr>
            </w:pPr>
          </w:p>
        </w:tc>
        <w:tc>
          <w:tcPr>
            <w:tcW w:w="1934" w:type="dxa"/>
            <w:tcBorders>
              <w:top w:val="single" w:sz="4" w:space="0" w:color="auto"/>
              <w:left w:val="single" w:sz="4" w:space="0" w:color="auto"/>
              <w:bottom w:val="single" w:sz="4" w:space="0" w:color="auto"/>
              <w:right w:val="single" w:sz="4" w:space="0" w:color="auto"/>
            </w:tcBorders>
          </w:tcPr>
          <w:p>
            <w:pPr>
              <w:shd w:val="clear" w:color="000000" w:fill="auto"/>
              <w:tabs>
                <w:tab w:val="left" w:pos="900"/>
              </w:tabs>
              <w:suppressAutoHyphens/>
              <w:jc w:val="both"/>
              <w:rPr>
                <w:rFonts w:cs="Calibri"/>
                <w:sz w:val="20"/>
                <w:lang w:eastAsia="ar-SA"/>
              </w:rPr>
            </w:pPr>
          </w:p>
        </w:tc>
      </w:tr>
      <w:tr>
        <w:tc>
          <w:tcPr>
            <w:tcW w:w="876" w:type="dxa"/>
            <w:tcBorders>
              <w:top w:val="single" w:sz="4" w:space="0" w:color="auto"/>
              <w:left w:val="single" w:sz="4" w:space="0" w:color="auto"/>
              <w:bottom w:val="single" w:sz="4" w:space="0" w:color="auto"/>
              <w:right w:val="single" w:sz="4" w:space="0" w:color="auto"/>
            </w:tcBorders>
            <w:hideMark/>
          </w:tcPr>
          <w:p>
            <w:pPr>
              <w:shd w:val="clear" w:color="000000" w:fill="auto"/>
              <w:tabs>
                <w:tab w:val="left" w:pos="900"/>
              </w:tabs>
              <w:suppressAutoHyphens/>
              <w:jc w:val="both"/>
              <w:rPr>
                <w:rFonts w:cs="Calibri"/>
                <w:sz w:val="20"/>
                <w:lang w:eastAsia="ar-SA"/>
              </w:rPr>
            </w:pPr>
            <w:r>
              <w:rPr>
                <w:sz w:val="20"/>
              </w:rPr>
              <w:t>9.2.2.</w:t>
            </w:r>
          </w:p>
        </w:tc>
        <w:tc>
          <w:tcPr>
            <w:tcW w:w="4026" w:type="dxa"/>
            <w:tcBorders>
              <w:top w:val="single" w:sz="4" w:space="0" w:color="auto"/>
              <w:left w:val="single" w:sz="4" w:space="0" w:color="auto"/>
              <w:bottom w:val="single" w:sz="4" w:space="0" w:color="auto"/>
              <w:right w:val="single" w:sz="4" w:space="0" w:color="auto"/>
            </w:tcBorders>
            <w:hideMark/>
          </w:tcPr>
          <w:p>
            <w:pPr>
              <w:shd w:val="clear" w:color="000000" w:fill="auto"/>
              <w:tabs>
                <w:tab w:val="left" w:pos="900"/>
              </w:tabs>
              <w:suppressAutoHyphens/>
              <w:jc w:val="both"/>
              <w:rPr>
                <w:rFonts w:cs="Calibri"/>
                <w:sz w:val="20"/>
                <w:lang w:eastAsia="ar-SA"/>
              </w:rPr>
            </w:pPr>
            <w:r>
              <w:rPr>
                <w:sz w:val="20"/>
              </w:rPr>
              <w:t>atėmus valstybės paramą</w:t>
            </w:r>
          </w:p>
        </w:tc>
        <w:tc>
          <w:tcPr>
            <w:tcW w:w="1420" w:type="dxa"/>
            <w:tcBorders>
              <w:top w:val="single" w:sz="4" w:space="0" w:color="auto"/>
              <w:left w:val="single" w:sz="4" w:space="0" w:color="auto"/>
              <w:bottom w:val="single" w:sz="4" w:space="0" w:color="auto"/>
              <w:right w:val="single" w:sz="4" w:space="0" w:color="auto"/>
            </w:tcBorders>
            <w:hideMark/>
          </w:tcPr>
          <w:p>
            <w:pPr>
              <w:shd w:val="clear" w:color="000000" w:fill="auto"/>
              <w:tabs>
                <w:tab w:val="left" w:pos="900"/>
              </w:tabs>
              <w:suppressAutoHyphens/>
              <w:jc w:val="both"/>
              <w:rPr>
                <w:rFonts w:cs="Calibri"/>
                <w:sz w:val="20"/>
                <w:lang w:eastAsia="ar-SA"/>
              </w:rPr>
            </w:pPr>
            <w:r>
              <w:rPr>
                <w:sz w:val="20"/>
              </w:rPr>
              <w:t>metais</w:t>
            </w:r>
          </w:p>
        </w:tc>
        <w:tc>
          <w:tcPr>
            <w:tcW w:w="1458" w:type="dxa"/>
            <w:tcBorders>
              <w:top w:val="single" w:sz="4" w:space="0" w:color="auto"/>
              <w:left w:val="single" w:sz="4" w:space="0" w:color="auto"/>
              <w:bottom w:val="single" w:sz="4" w:space="0" w:color="auto"/>
              <w:right w:val="single" w:sz="4" w:space="0" w:color="auto"/>
            </w:tcBorders>
          </w:tcPr>
          <w:p>
            <w:pPr>
              <w:shd w:val="clear" w:color="000000" w:fill="auto"/>
              <w:tabs>
                <w:tab w:val="left" w:pos="900"/>
              </w:tabs>
              <w:suppressAutoHyphens/>
              <w:jc w:val="both"/>
              <w:rPr>
                <w:rFonts w:cs="Calibri"/>
                <w:sz w:val="20"/>
                <w:lang w:eastAsia="ar-SA"/>
              </w:rPr>
            </w:pPr>
          </w:p>
        </w:tc>
        <w:tc>
          <w:tcPr>
            <w:tcW w:w="1934" w:type="dxa"/>
            <w:tcBorders>
              <w:top w:val="single" w:sz="4" w:space="0" w:color="auto"/>
              <w:left w:val="single" w:sz="4" w:space="0" w:color="auto"/>
              <w:bottom w:val="single" w:sz="4" w:space="0" w:color="auto"/>
              <w:right w:val="single" w:sz="4" w:space="0" w:color="auto"/>
            </w:tcBorders>
          </w:tcPr>
          <w:p>
            <w:pPr>
              <w:shd w:val="clear" w:color="000000" w:fill="auto"/>
              <w:tabs>
                <w:tab w:val="left" w:pos="900"/>
              </w:tabs>
              <w:suppressAutoHyphens/>
              <w:jc w:val="both"/>
              <w:rPr>
                <w:rFonts w:cs="Calibri"/>
                <w:sz w:val="20"/>
                <w:lang w:eastAsia="ar-SA"/>
              </w:rPr>
            </w:pPr>
          </w:p>
        </w:tc>
      </w:tr>
    </w:tbl>
    <w:p>
      <w:pPr>
        <w:shd w:val="clear" w:color="000000" w:fill="auto"/>
      </w:pPr>
    </w:p>
    <w:p>
      <w:pPr>
        <w:shd w:val="clear" w:color="000000" w:fill="auto"/>
        <w:ind w:firstLine="567"/>
        <w:jc w:val="both"/>
        <w:rPr>
          <w:rFonts w:cs="Calibri"/>
          <w:lang w:eastAsia="ar-SA"/>
        </w:rPr>
      </w:pPr>
      <w:r>
        <w:t>Investicijų ekonominio naudingumo įvertinimas gali būti pailiustruotas grafiškai, parodant santykinius šiluminės energijos sąnaudų pokyčius iki ir po projekto įgyvendinimo.</w:t>
      </w:r>
    </w:p>
    <w:p>
      <w:pPr>
        <w:shd w:val="clear" w:color="000000" w:fill="auto"/>
        <w:rPr>
          <w:b/>
          <w:bCs/>
        </w:rPr>
      </w:pPr>
    </w:p>
    <w:p>
      <w:pPr>
        <w:pStyle w:val="PlainText"/>
        <w:ind w:firstLine="567"/>
        <w:jc w:val="both"/>
        <w:rPr>
          <w:rFonts w:ascii="Times New Roman" w:hAnsi="Times New Roman"/>
          <w:b/>
          <w:bCs/>
          <w:sz w:val="22"/>
        </w:rPr>
      </w:pPr>
      <w:r>
        <w:rPr>
          <w:rFonts w:ascii="Times New Roman" w:hAnsi="Times New Roman"/>
          <w:sz w:val="22"/>
        </w:rPr>
        <w:t>10</w:t>
      </w:r>
      <w:r>
        <w:rPr>
          <w:rFonts w:ascii="Times New Roman" w:hAnsi="Times New Roman"/>
          <w:sz w:val="22"/>
        </w:rPr>
        <w:t>.</w:t>
      </w:r>
      <w:r>
        <w:rPr>
          <w:rFonts w:ascii="Times New Roman" w:eastAsia="MS Mincho" w:hAnsi="Times New Roman"/>
          <w:sz w:val="20"/>
          <w:i/>
          <w:iCs/>
        </w:rPr>
        <w:t xml:space="preserve"> Neteko galios nuo 2019-08-15</w:t>
      </w:r>
    </w:p>
    <w:p>
      <w:pPr>
        <w:pStyle w:val="PlainText"/>
        <w:rPr>
          <w:rFonts w:ascii="Times New Roman" w:eastAsia="MS Mincho" w:hAnsi="Times New Roman"/>
          <w:sz w:val="20"/>
          <w:i/>
          <w:iCs/>
        </w:rPr>
      </w:pPr>
      <w:r>
        <w:rPr>
          <w:rFonts w:ascii="Times New Roman" w:eastAsia="MS Mincho" w:hAnsi="Times New Roman"/>
          <w:sz w:val="20"/>
          <w:i/>
          <w:iCs/>
        </w:rPr>
        <w:t>Punkto naikinimas:</w:t>
      </w:r>
    </w:p>
    <w:p>
      <w:pPr>
        <w:pStyle w:val="PlainText"/>
        <w:jc w:val="both"/>
        <w:rPr>
          <w:rFonts w:ascii="Times New Roman" w:eastAsia="MS Mincho" w:hAnsi="Times New Roman"/>
          <w:sz w:val="20"/>
          <w:i/>
          <w:iCs/>
        </w:rPr>
      </w:pPr>
      <w:r>
        <w:rPr>
          <w:rFonts w:ascii="Times New Roman" w:eastAsia="MS Mincho" w:hAnsi="Times New Roman"/>
          <w:sz w:val="20"/>
          <w:i/>
          <w:iCs/>
        </w:rPr>
        <w:t xml:space="preserve">Nr. </w:t>
      </w:r>
      <w:fldSimple w:instr="HYPERLINK https://www.e-tar.lt/portal/legalAct.html?documentId=edc5df10be8011e9840ec0427c781bac">
        <w:r w:rsidRPr="00532B9F">
          <w:rPr>
            <w:rFonts w:ascii="Times New Roman" w:eastAsia="MS Mincho" w:hAnsi="Times New Roman"/>
            <w:sz w:val="20"/>
            <w:i/>
            <w:iCs/>
            <w:color w:val="0000FF" w:themeColor="hyperlink"/>
            <w:u w:val="single"/>
          </w:rPr>
          <w:t>D1-488</w:t>
        </w:r>
      </w:fldSimple>
      <w:r>
        <w:rPr>
          <w:rFonts w:ascii="Times New Roman" w:eastAsia="MS Mincho" w:hAnsi="Times New Roman"/>
          <w:sz w:val="20"/>
          <w:i/>
          <w:iCs/>
        </w:rPr>
        <w:t>,
2019-08-14,
paskelbta TAR 2019-08-14, i. k. 2019-13160        </w:t>
      </w:r>
    </w:p>
    <w:p/>
    <w:p>
      <w:pPr>
        <w:shd w:val="clear" w:color="000000" w:fill="auto"/>
        <w:ind w:firstLine="709"/>
        <w:rPr>
          <w:b/>
          <w:bCs/>
        </w:rPr>
      </w:pPr>
      <w:r>
        <w:rPr>
          <w:b/>
          <w:bCs/>
        </w:rPr>
        <w:t>11</w:t>
      </w:r>
      <w:r>
        <w:rPr>
          <w:b/>
          <w:bCs/>
        </w:rPr>
        <w:t>. Projekto finansavimo planas</w:t>
      </w:r>
    </w:p>
    <w:p>
      <w:pPr>
        <w:ind w:firstLine="8080"/>
        <w:rPr>
          <w:lang w:val="en-US"/>
        </w:rPr>
      </w:pPr>
      <w:r>
        <w:t>10</w:t>
      </w:r>
      <w:r>
        <w:t xml:space="preserve"> lentelė</w:t>
      </w:r>
    </w:p>
    <w:tbl>
      <w:tblPr>
        <w:tblW w:w="9630" w:type="dxa"/>
        <w:tblInd w:w="55" w:type="dxa"/>
        <w:tblLayout w:type="fixed"/>
        <w:tblCellMar>
          <w:top w:w="55" w:type="dxa"/>
          <w:left w:w="55" w:type="dxa"/>
          <w:bottom w:w="55" w:type="dxa"/>
          <w:right w:w="55" w:type="dxa"/>
        </w:tblCellMar>
        <w:tblLook w:val="04A0" w:firstRow="1" w:lastRow="0" w:firstColumn="1" w:lastColumn="0" w:noHBand="0" w:noVBand="1"/>
      </w:tblPr>
      <w:tblGrid>
        <w:gridCol w:w="993"/>
        <w:gridCol w:w="3118"/>
        <w:gridCol w:w="1701"/>
        <w:gridCol w:w="1899"/>
        <w:gridCol w:w="1919"/>
      </w:tblGrid>
      <w:tr>
        <w:trPr>
          <w:trHeight w:val="289"/>
        </w:trPr>
        <w:tc>
          <w:tcPr>
            <w:tcW w:w="993" w:type="dxa"/>
            <w:vMerge w:val="restart"/>
            <w:tcBorders>
              <w:top w:val="single" w:sz="4" w:space="0" w:color="auto"/>
              <w:left w:val="single" w:sz="4" w:space="0" w:color="auto"/>
              <w:bottom w:val="single" w:sz="4" w:space="0" w:color="auto"/>
              <w:right w:val="single" w:sz="4" w:space="0" w:color="auto"/>
            </w:tcBorders>
            <w:vAlign w:val="center"/>
            <w:hideMark/>
          </w:tcPr>
          <w:p>
            <w:pPr>
              <w:tabs>
                <w:tab w:val="left" w:pos="0"/>
              </w:tabs>
              <w:spacing w:line="276" w:lineRule="auto"/>
              <w:jc w:val="center"/>
              <w:rPr>
                <w:rFonts w:eastAsia="Calibri"/>
                <w:sz w:val="20"/>
              </w:rPr>
            </w:pPr>
            <w:r>
              <w:rPr>
                <w:rFonts w:eastAsia="Calibri"/>
                <w:sz w:val="20"/>
              </w:rPr>
              <w:t>Eil. Nr.</w:t>
            </w:r>
          </w:p>
        </w:tc>
        <w:tc>
          <w:tcPr>
            <w:tcW w:w="3118" w:type="dxa"/>
            <w:vMerge w:val="restart"/>
            <w:tcBorders>
              <w:top w:val="single" w:sz="4" w:space="0" w:color="auto"/>
              <w:left w:val="single" w:sz="4" w:space="0" w:color="auto"/>
              <w:bottom w:val="single" w:sz="4" w:space="0" w:color="auto"/>
              <w:right w:val="single" w:sz="4" w:space="0" w:color="auto"/>
            </w:tcBorders>
            <w:vAlign w:val="center"/>
            <w:hideMark/>
          </w:tcPr>
          <w:p>
            <w:pPr>
              <w:tabs>
                <w:tab w:val="left" w:pos="0"/>
              </w:tabs>
              <w:spacing w:line="276" w:lineRule="auto"/>
              <w:ind w:firstLine="426"/>
              <w:jc w:val="center"/>
              <w:rPr>
                <w:rFonts w:eastAsia="Calibri"/>
                <w:sz w:val="20"/>
              </w:rPr>
            </w:pPr>
            <w:r>
              <w:rPr>
                <w:rFonts w:eastAsia="Calibri"/>
                <w:sz w:val="20"/>
              </w:rPr>
              <w:t>Lėšų šaltiniai</w:t>
            </w:r>
          </w:p>
        </w:tc>
        <w:tc>
          <w:tcPr>
            <w:tcW w:w="3600" w:type="dxa"/>
            <w:gridSpan w:val="2"/>
            <w:tcBorders>
              <w:top w:val="single" w:sz="4" w:space="0" w:color="auto"/>
              <w:left w:val="single" w:sz="4" w:space="0" w:color="auto"/>
              <w:bottom w:val="single" w:sz="4" w:space="0" w:color="auto"/>
              <w:right w:val="single" w:sz="4" w:space="0" w:color="auto"/>
            </w:tcBorders>
            <w:vAlign w:val="center"/>
            <w:hideMark/>
          </w:tcPr>
          <w:p>
            <w:pPr>
              <w:tabs>
                <w:tab w:val="left" w:pos="0"/>
              </w:tabs>
              <w:spacing w:line="276" w:lineRule="auto"/>
              <w:ind w:firstLine="426"/>
              <w:jc w:val="center"/>
              <w:rPr>
                <w:rFonts w:eastAsia="Calibri"/>
                <w:sz w:val="20"/>
              </w:rPr>
            </w:pPr>
            <w:r>
              <w:rPr>
                <w:rFonts w:eastAsia="Calibri"/>
                <w:sz w:val="20"/>
              </w:rPr>
              <w:t>Planuojamos lėšos</w:t>
            </w:r>
          </w:p>
        </w:tc>
        <w:tc>
          <w:tcPr>
            <w:tcW w:w="1919" w:type="dxa"/>
            <w:vMerge w:val="restart"/>
            <w:tcBorders>
              <w:top w:val="single" w:sz="4" w:space="0" w:color="auto"/>
              <w:left w:val="single" w:sz="4" w:space="0" w:color="auto"/>
              <w:bottom w:val="single" w:sz="4" w:space="0" w:color="auto"/>
              <w:right w:val="single" w:sz="4" w:space="0" w:color="auto"/>
            </w:tcBorders>
            <w:vAlign w:val="center"/>
            <w:hideMark/>
          </w:tcPr>
          <w:p>
            <w:pPr>
              <w:tabs>
                <w:tab w:val="left" w:pos="0"/>
              </w:tabs>
              <w:spacing w:line="276" w:lineRule="auto"/>
              <w:ind w:firstLine="426"/>
              <w:jc w:val="center"/>
              <w:rPr>
                <w:rFonts w:eastAsia="Calibri"/>
                <w:sz w:val="20"/>
              </w:rPr>
            </w:pPr>
            <w:r>
              <w:rPr>
                <w:rFonts w:eastAsia="Calibri"/>
                <w:sz w:val="20"/>
              </w:rPr>
              <w:t>Pastabos</w:t>
            </w:r>
          </w:p>
        </w:tc>
      </w:tr>
      <w:tr>
        <w:trPr>
          <w:trHeight w:hRule="exact" w:val="791"/>
        </w:trPr>
        <w:tc>
          <w:tcPr>
            <w:tcW w:w="993" w:type="dxa"/>
            <w:vMerge/>
            <w:tcBorders>
              <w:top w:val="single" w:sz="4" w:space="0" w:color="auto"/>
              <w:left w:val="single" w:sz="4" w:space="0" w:color="auto"/>
              <w:bottom w:val="single" w:sz="4" w:space="0" w:color="auto"/>
              <w:right w:val="single" w:sz="4" w:space="0" w:color="auto"/>
            </w:tcBorders>
            <w:vAlign w:val="center"/>
            <w:hideMark/>
          </w:tcPr>
          <w:p>
            <w:pPr>
              <w:jc w:val="center"/>
              <w:rPr>
                <w:sz w:val="20"/>
                <w:lang w:eastAsia="ar-SA"/>
              </w:rPr>
            </w:pPr>
          </w:p>
        </w:tc>
        <w:tc>
          <w:tcPr>
            <w:tcW w:w="3118" w:type="dxa"/>
            <w:vMerge/>
            <w:tcBorders>
              <w:top w:val="single" w:sz="4" w:space="0" w:color="auto"/>
              <w:left w:val="single" w:sz="4" w:space="0" w:color="auto"/>
              <w:bottom w:val="single" w:sz="4" w:space="0" w:color="auto"/>
              <w:right w:val="single" w:sz="4" w:space="0" w:color="auto"/>
            </w:tcBorders>
            <w:vAlign w:val="center"/>
            <w:hideMark/>
          </w:tcPr>
          <w:p>
            <w:pPr>
              <w:jc w:val="center"/>
              <w:rPr>
                <w:sz w:val="20"/>
                <w:lang w:eastAsia="ar-SA"/>
              </w:rPr>
            </w:pPr>
          </w:p>
        </w:tc>
        <w:tc>
          <w:tcPr>
            <w:tcW w:w="1701" w:type="dxa"/>
            <w:tcBorders>
              <w:top w:val="single" w:sz="4" w:space="0" w:color="auto"/>
              <w:left w:val="single" w:sz="4" w:space="0" w:color="auto"/>
              <w:bottom w:val="single" w:sz="4" w:space="0" w:color="auto"/>
              <w:right w:val="single" w:sz="4" w:space="0" w:color="auto"/>
            </w:tcBorders>
            <w:vAlign w:val="center"/>
            <w:hideMark/>
          </w:tcPr>
          <w:p>
            <w:pPr>
              <w:tabs>
                <w:tab w:val="left" w:pos="0"/>
              </w:tabs>
              <w:spacing w:line="276" w:lineRule="auto"/>
              <w:jc w:val="center"/>
              <w:rPr>
                <w:rFonts w:eastAsia="Calibri"/>
                <w:sz w:val="20"/>
              </w:rPr>
            </w:pPr>
            <w:r>
              <w:rPr>
                <w:rFonts w:eastAsia="Calibri"/>
                <w:sz w:val="20"/>
              </w:rPr>
              <w:t>Suma, Eur</w:t>
            </w:r>
          </w:p>
        </w:tc>
        <w:tc>
          <w:tcPr>
            <w:tcW w:w="1899" w:type="dxa"/>
            <w:tcBorders>
              <w:top w:val="single" w:sz="4" w:space="0" w:color="auto"/>
              <w:left w:val="single" w:sz="4" w:space="0" w:color="auto"/>
              <w:bottom w:val="single" w:sz="4" w:space="0" w:color="auto"/>
              <w:right w:val="single" w:sz="4" w:space="0" w:color="auto"/>
            </w:tcBorders>
            <w:vAlign w:val="center"/>
          </w:tcPr>
          <w:p>
            <w:pPr>
              <w:tabs>
                <w:tab w:val="left" w:pos="0"/>
              </w:tabs>
              <w:spacing w:line="276" w:lineRule="auto"/>
              <w:jc w:val="center"/>
              <w:rPr>
                <w:rFonts w:eastAsia="Calibri"/>
                <w:sz w:val="20"/>
              </w:rPr>
            </w:pPr>
            <w:r>
              <w:rPr>
                <w:rFonts w:eastAsia="Calibri"/>
                <w:sz w:val="20"/>
              </w:rPr>
              <w:t xml:space="preserve">Procentinė dalis </w:t>
            </w:r>
            <w:r>
              <w:rPr>
                <w:rFonts w:eastAsia="Calibri"/>
                <w:b/>
                <w:sz w:val="20"/>
              </w:rPr>
              <w:t xml:space="preserve"> </w:t>
            </w:r>
            <w:r>
              <w:rPr>
                <w:rFonts w:eastAsia="Calibri"/>
                <w:sz w:val="20"/>
              </w:rPr>
              <w:t>nuo visos sumos %</w:t>
            </w:r>
          </w:p>
        </w:tc>
        <w:tc>
          <w:tcPr>
            <w:tcW w:w="1919" w:type="dxa"/>
            <w:vMerge/>
            <w:tcBorders>
              <w:top w:val="single" w:sz="4" w:space="0" w:color="auto"/>
              <w:left w:val="single" w:sz="4" w:space="0" w:color="auto"/>
              <w:bottom w:val="single" w:sz="4" w:space="0" w:color="auto"/>
              <w:right w:val="single" w:sz="4" w:space="0" w:color="auto"/>
            </w:tcBorders>
            <w:vAlign w:val="center"/>
            <w:hideMark/>
          </w:tcPr>
          <w:p>
            <w:pPr>
              <w:rPr>
                <w:sz w:val="20"/>
                <w:lang w:eastAsia="ar-SA"/>
              </w:rPr>
            </w:pPr>
          </w:p>
        </w:tc>
      </w:tr>
      <w:tr>
        <w:tc>
          <w:tcPr>
            <w:tcW w:w="993" w:type="dxa"/>
            <w:tcBorders>
              <w:top w:val="single" w:sz="4" w:space="0" w:color="auto"/>
              <w:left w:val="single" w:sz="4" w:space="0" w:color="auto"/>
              <w:bottom w:val="single" w:sz="4" w:space="0" w:color="auto"/>
              <w:right w:val="single" w:sz="4" w:space="0" w:color="auto"/>
            </w:tcBorders>
            <w:hideMark/>
          </w:tcPr>
          <w:p>
            <w:pPr>
              <w:suppressLineNumbers/>
              <w:suppressAutoHyphens/>
              <w:snapToGrid w:val="0"/>
              <w:jc w:val="center"/>
              <w:rPr>
                <w:sz w:val="20"/>
                <w:lang w:eastAsia="ar-SA"/>
              </w:rPr>
            </w:pPr>
            <w:r>
              <w:rPr>
                <w:sz w:val="20"/>
                <w:lang w:eastAsia="ar-SA"/>
              </w:rPr>
              <w:t>1.</w:t>
            </w:r>
          </w:p>
        </w:tc>
        <w:tc>
          <w:tcPr>
            <w:tcW w:w="3118" w:type="dxa"/>
            <w:tcBorders>
              <w:top w:val="single" w:sz="4" w:space="0" w:color="auto"/>
              <w:left w:val="single" w:sz="4" w:space="0" w:color="auto"/>
              <w:bottom w:val="single" w:sz="4" w:space="0" w:color="auto"/>
              <w:right w:val="single" w:sz="4" w:space="0" w:color="auto"/>
            </w:tcBorders>
            <w:hideMark/>
          </w:tcPr>
          <w:p>
            <w:pPr>
              <w:suppressLineNumbers/>
              <w:suppressAutoHyphens/>
              <w:snapToGrid w:val="0"/>
              <w:jc w:val="center"/>
              <w:rPr>
                <w:sz w:val="20"/>
                <w:lang w:eastAsia="ar-SA"/>
              </w:rPr>
            </w:pPr>
            <w:r>
              <w:rPr>
                <w:sz w:val="20"/>
                <w:lang w:eastAsia="ar-SA"/>
              </w:rPr>
              <w:t>2</w:t>
            </w:r>
          </w:p>
        </w:tc>
        <w:tc>
          <w:tcPr>
            <w:tcW w:w="1701" w:type="dxa"/>
            <w:tcBorders>
              <w:top w:val="single" w:sz="4" w:space="0" w:color="auto"/>
              <w:left w:val="single" w:sz="4" w:space="0" w:color="auto"/>
              <w:bottom w:val="single" w:sz="4" w:space="0" w:color="auto"/>
              <w:right w:val="single" w:sz="4" w:space="0" w:color="auto"/>
            </w:tcBorders>
            <w:hideMark/>
          </w:tcPr>
          <w:p>
            <w:pPr>
              <w:suppressLineNumbers/>
              <w:suppressAutoHyphens/>
              <w:snapToGrid w:val="0"/>
              <w:jc w:val="center"/>
              <w:rPr>
                <w:sz w:val="20"/>
                <w:lang w:eastAsia="ar-SA"/>
              </w:rPr>
            </w:pPr>
            <w:r>
              <w:rPr>
                <w:sz w:val="20"/>
                <w:lang w:eastAsia="ar-SA"/>
              </w:rPr>
              <w:t>3</w:t>
            </w:r>
          </w:p>
        </w:tc>
        <w:tc>
          <w:tcPr>
            <w:tcW w:w="1899" w:type="dxa"/>
            <w:tcBorders>
              <w:top w:val="single" w:sz="4" w:space="0" w:color="auto"/>
              <w:left w:val="single" w:sz="4" w:space="0" w:color="auto"/>
              <w:bottom w:val="single" w:sz="4" w:space="0" w:color="auto"/>
              <w:right w:val="single" w:sz="4" w:space="0" w:color="auto"/>
            </w:tcBorders>
            <w:hideMark/>
          </w:tcPr>
          <w:p>
            <w:pPr>
              <w:suppressLineNumbers/>
              <w:suppressAutoHyphens/>
              <w:snapToGrid w:val="0"/>
              <w:jc w:val="center"/>
              <w:rPr>
                <w:sz w:val="20"/>
                <w:lang w:eastAsia="ar-SA"/>
              </w:rPr>
            </w:pPr>
            <w:r>
              <w:rPr>
                <w:sz w:val="20"/>
                <w:lang w:eastAsia="ar-SA"/>
              </w:rPr>
              <w:t>4</w:t>
            </w:r>
          </w:p>
        </w:tc>
        <w:tc>
          <w:tcPr>
            <w:tcW w:w="1919" w:type="dxa"/>
            <w:tcBorders>
              <w:top w:val="single" w:sz="4" w:space="0" w:color="auto"/>
              <w:left w:val="single" w:sz="4" w:space="0" w:color="auto"/>
              <w:bottom w:val="single" w:sz="4" w:space="0" w:color="auto"/>
              <w:right w:val="single" w:sz="4" w:space="0" w:color="auto"/>
            </w:tcBorders>
            <w:hideMark/>
          </w:tcPr>
          <w:p>
            <w:pPr>
              <w:suppressLineNumbers/>
              <w:suppressAutoHyphens/>
              <w:snapToGrid w:val="0"/>
              <w:jc w:val="center"/>
              <w:rPr>
                <w:sz w:val="20"/>
                <w:lang w:eastAsia="ar-SA"/>
              </w:rPr>
            </w:pPr>
            <w:r>
              <w:rPr>
                <w:sz w:val="20"/>
                <w:lang w:eastAsia="ar-SA"/>
              </w:rPr>
              <w:t>5</w:t>
            </w:r>
          </w:p>
        </w:tc>
      </w:tr>
      <w:tr>
        <w:tc>
          <w:tcPr>
            <w:tcW w:w="993" w:type="dxa"/>
            <w:tcBorders>
              <w:top w:val="single" w:sz="4" w:space="0" w:color="auto"/>
              <w:left w:val="single" w:sz="4" w:space="0" w:color="auto"/>
              <w:bottom w:val="single" w:sz="4" w:space="0" w:color="auto"/>
              <w:right w:val="single" w:sz="4" w:space="0" w:color="auto"/>
            </w:tcBorders>
            <w:hideMark/>
          </w:tcPr>
          <w:p>
            <w:pPr>
              <w:suppressLineNumbers/>
              <w:suppressAutoHyphens/>
              <w:snapToGrid w:val="0"/>
              <w:jc w:val="center"/>
              <w:rPr>
                <w:sz w:val="20"/>
                <w:lang w:eastAsia="ar-SA"/>
              </w:rPr>
            </w:pPr>
            <w:r>
              <w:rPr>
                <w:sz w:val="20"/>
                <w:lang w:eastAsia="ar-SA"/>
              </w:rPr>
              <w:t>11.1.</w:t>
            </w:r>
          </w:p>
        </w:tc>
        <w:tc>
          <w:tcPr>
            <w:tcW w:w="3118" w:type="dxa"/>
            <w:tcBorders>
              <w:top w:val="single" w:sz="4" w:space="0" w:color="auto"/>
              <w:left w:val="single" w:sz="4" w:space="0" w:color="auto"/>
              <w:bottom w:val="single" w:sz="4" w:space="0" w:color="auto"/>
              <w:right w:val="single" w:sz="4" w:space="0" w:color="auto"/>
            </w:tcBorders>
            <w:hideMark/>
          </w:tcPr>
          <w:p>
            <w:pPr>
              <w:suppressLineNumbers/>
              <w:suppressAutoHyphens/>
              <w:snapToGrid w:val="0"/>
              <w:rPr>
                <w:b/>
                <w:sz w:val="20"/>
                <w:lang w:eastAsia="ar-SA"/>
              </w:rPr>
            </w:pPr>
            <w:r>
              <w:rPr>
                <w:b/>
                <w:sz w:val="20"/>
                <w:lang w:eastAsia="ar-SA"/>
              </w:rPr>
              <w:t>planuojami lėšų šaltiniai projekto parengimo ir įgyvendinimo laikotarpiu</w:t>
            </w:r>
          </w:p>
        </w:tc>
        <w:tc>
          <w:tcPr>
            <w:tcW w:w="1701" w:type="dxa"/>
            <w:tcBorders>
              <w:top w:val="single" w:sz="4" w:space="0" w:color="auto"/>
              <w:left w:val="single" w:sz="4" w:space="0" w:color="auto"/>
              <w:bottom w:val="single" w:sz="4" w:space="0" w:color="auto"/>
              <w:right w:val="single" w:sz="4" w:space="0" w:color="auto"/>
            </w:tcBorders>
          </w:tcPr>
          <w:p>
            <w:pPr>
              <w:suppressLineNumbers/>
              <w:suppressAutoHyphens/>
              <w:snapToGrid w:val="0"/>
              <w:jc w:val="center"/>
              <w:rPr>
                <w:sz w:val="20"/>
                <w:lang w:eastAsia="ar-SA"/>
              </w:rPr>
            </w:pPr>
          </w:p>
        </w:tc>
        <w:tc>
          <w:tcPr>
            <w:tcW w:w="1899" w:type="dxa"/>
            <w:tcBorders>
              <w:top w:val="single" w:sz="4" w:space="0" w:color="auto"/>
              <w:left w:val="single" w:sz="4" w:space="0" w:color="auto"/>
              <w:bottom w:val="single" w:sz="4" w:space="0" w:color="auto"/>
              <w:right w:val="single" w:sz="4" w:space="0" w:color="auto"/>
            </w:tcBorders>
          </w:tcPr>
          <w:p>
            <w:pPr>
              <w:suppressLineNumbers/>
              <w:suppressAutoHyphens/>
              <w:snapToGrid w:val="0"/>
              <w:jc w:val="center"/>
              <w:rPr>
                <w:sz w:val="20"/>
                <w:lang w:eastAsia="ar-SA"/>
              </w:rPr>
            </w:pPr>
          </w:p>
        </w:tc>
        <w:tc>
          <w:tcPr>
            <w:tcW w:w="1919" w:type="dxa"/>
            <w:tcBorders>
              <w:top w:val="single" w:sz="4" w:space="0" w:color="auto"/>
              <w:left w:val="single" w:sz="4" w:space="0" w:color="auto"/>
              <w:bottom w:val="single" w:sz="4" w:space="0" w:color="auto"/>
              <w:right w:val="single" w:sz="4" w:space="0" w:color="auto"/>
            </w:tcBorders>
          </w:tcPr>
          <w:p>
            <w:pPr>
              <w:suppressLineNumbers/>
              <w:suppressAutoHyphens/>
              <w:snapToGrid w:val="0"/>
              <w:jc w:val="center"/>
              <w:rPr>
                <w:sz w:val="20"/>
                <w:lang w:eastAsia="ar-SA"/>
              </w:rPr>
            </w:pPr>
          </w:p>
        </w:tc>
      </w:tr>
      <w:tr>
        <w:tc>
          <w:tcPr>
            <w:tcW w:w="993" w:type="dxa"/>
            <w:tcBorders>
              <w:top w:val="single" w:sz="4" w:space="0" w:color="auto"/>
              <w:left w:val="single" w:sz="4" w:space="0" w:color="auto"/>
              <w:bottom w:val="single" w:sz="4" w:space="0" w:color="auto"/>
              <w:right w:val="single" w:sz="4" w:space="0" w:color="auto"/>
            </w:tcBorders>
            <w:hideMark/>
          </w:tcPr>
          <w:p>
            <w:pPr>
              <w:suppressLineNumbers/>
              <w:suppressAutoHyphens/>
              <w:snapToGrid w:val="0"/>
              <w:jc w:val="center"/>
              <w:rPr>
                <w:sz w:val="20"/>
                <w:lang w:eastAsia="ar-SA"/>
              </w:rPr>
            </w:pPr>
            <w:r>
              <w:rPr>
                <w:sz w:val="20"/>
                <w:lang w:eastAsia="ar-SA"/>
              </w:rPr>
              <w:t>11.1.1</w:t>
            </w:r>
          </w:p>
        </w:tc>
        <w:tc>
          <w:tcPr>
            <w:tcW w:w="3118" w:type="dxa"/>
            <w:tcBorders>
              <w:top w:val="single" w:sz="4" w:space="0" w:color="auto"/>
              <w:left w:val="single" w:sz="4" w:space="0" w:color="auto"/>
              <w:bottom w:val="single" w:sz="4" w:space="0" w:color="auto"/>
              <w:right w:val="single" w:sz="4" w:space="0" w:color="auto"/>
            </w:tcBorders>
            <w:hideMark/>
          </w:tcPr>
          <w:p>
            <w:pPr>
              <w:suppressLineNumbers/>
              <w:suppressAutoHyphens/>
              <w:snapToGrid w:val="0"/>
              <w:rPr>
                <w:sz w:val="20"/>
                <w:lang w:eastAsia="ar-SA"/>
              </w:rPr>
            </w:pPr>
            <w:r>
              <w:rPr>
                <w:sz w:val="20"/>
                <w:lang w:eastAsia="ar-SA"/>
              </w:rPr>
              <w:t>butų ir kitų patalpų savininkų nuosavos lėšos</w:t>
            </w:r>
          </w:p>
        </w:tc>
        <w:tc>
          <w:tcPr>
            <w:tcW w:w="1701" w:type="dxa"/>
            <w:tcBorders>
              <w:top w:val="single" w:sz="4" w:space="0" w:color="auto"/>
              <w:left w:val="single" w:sz="4" w:space="0" w:color="auto"/>
              <w:bottom w:val="single" w:sz="4" w:space="0" w:color="auto"/>
              <w:right w:val="single" w:sz="4" w:space="0" w:color="auto"/>
            </w:tcBorders>
          </w:tcPr>
          <w:p>
            <w:pPr>
              <w:suppressLineNumbers/>
              <w:suppressAutoHyphens/>
              <w:snapToGrid w:val="0"/>
              <w:rPr>
                <w:sz w:val="20"/>
                <w:lang w:eastAsia="ar-SA"/>
              </w:rPr>
            </w:pPr>
          </w:p>
        </w:tc>
        <w:tc>
          <w:tcPr>
            <w:tcW w:w="1899" w:type="dxa"/>
            <w:tcBorders>
              <w:top w:val="single" w:sz="4" w:space="0" w:color="auto"/>
              <w:left w:val="single" w:sz="4" w:space="0" w:color="auto"/>
              <w:bottom w:val="single" w:sz="4" w:space="0" w:color="auto"/>
              <w:right w:val="single" w:sz="4" w:space="0" w:color="auto"/>
            </w:tcBorders>
          </w:tcPr>
          <w:p>
            <w:pPr>
              <w:suppressLineNumbers/>
              <w:suppressAutoHyphens/>
              <w:snapToGrid w:val="0"/>
              <w:rPr>
                <w:sz w:val="20"/>
                <w:lang w:eastAsia="ar-SA"/>
              </w:rPr>
            </w:pPr>
          </w:p>
        </w:tc>
        <w:tc>
          <w:tcPr>
            <w:tcW w:w="1919" w:type="dxa"/>
            <w:tcBorders>
              <w:top w:val="single" w:sz="4" w:space="0" w:color="auto"/>
              <w:left w:val="single" w:sz="4" w:space="0" w:color="auto"/>
              <w:bottom w:val="single" w:sz="4" w:space="0" w:color="auto"/>
              <w:right w:val="single" w:sz="4" w:space="0" w:color="auto"/>
            </w:tcBorders>
          </w:tcPr>
          <w:p>
            <w:pPr>
              <w:suppressLineNumbers/>
              <w:suppressAutoHyphens/>
              <w:snapToGrid w:val="0"/>
              <w:rPr>
                <w:sz w:val="20"/>
                <w:lang w:eastAsia="ar-SA"/>
              </w:rPr>
            </w:pPr>
          </w:p>
        </w:tc>
      </w:tr>
      <w:tr>
        <w:tc>
          <w:tcPr>
            <w:tcW w:w="993" w:type="dxa"/>
            <w:tcBorders>
              <w:top w:val="single" w:sz="4" w:space="0" w:color="auto"/>
              <w:left w:val="single" w:sz="4" w:space="0" w:color="auto"/>
              <w:bottom w:val="single" w:sz="4" w:space="0" w:color="auto"/>
              <w:right w:val="single" w:sz="4" w:space="0" w:color="auto"/>
            </w:tcBorders>
            <w:hideMark/>
          </w:tcPr>
          <w:p>
            <w:pPr>
              <w:suppressLineNumbers/>
              <w:suppressAutoHyphens/>
              <w:snapToGrid w:val="0"/>
              <w:jc w:val="center"/>
              <w:rPr>
                <w:sz w:val="20"/>
                <w:lang w:eastAsia="ar-SA"/>
              </w:rPr>
            </w:pPr>
            <w:r>
              <w:rPr>
                <w:sz w:val="20"/>
                <w:lang w:eastAsia="ar-SA"/>
              </w:rPr>
              <w:t>11.1.2</w:t>
            </w:r>
          </w:p>
        </w:tc>
        <w:tc>
          <w:tcPr>
            <w:tcW w:w="3118" w:type="dxa"/>
            <w:tcBorders>
              <w:top w:val="single" w:sz="4" w:space="0" w:color="auto"/>
              <w:left w:val="single" w:sz="4" w:space="0" w:color="auto"/>
              <w:bottom w:val="single" w:sz="4" w:space="0" w:color="auto"/>
              <w:right w:val="single" w:sz="4" w:space="0" w:color="auto"/>
            </w:tcBorders>
            <w:hideMark/>
          </w:tcPr>
          <w:p>
            <w:pPr>
              <w:suppressLineNumbers/>
              <w:suppressAutoHyphens/>
              <w:snapToGrid w:val="0"/>
              <w:rPr>
                <w:sz w:val="20"/>
                <w:lang w:eastAsia="ar-SA"/>
              </w:rPr>
            </w:pPr>
            <w:r>
              <w:rPr>
                <w:sz w:val="20"/>
                <w:lang w:eastAsia="ar-SA"/>
              </w:rPr>
              <w:t>kreditas ar kitos skolintos finansuotojo lėšos</w:t>
            </w:r>
          </w:p>
        </w:tc>
        <w:tc>
          <w:tcPr>
            <w:tcW w:w="1701" w:type="dxa"/>
            <w:tcBorders>
              <w:top w:val="single" w:sz="4" w:space="0" w:color="auto"/>
              <w:left w:val="single" w:sz="4" w:space="0" w:color="auto"/>
              <w:bottom w:val="single" w:sz="4" w:space="0" w:color="auto"/>
              <w:right w:val="single" w:sz="4" w:space="0" w:color="auto"/>
            </w:tcBorders>
          </w:tcPr>
          <w:p>
            <w:pPr>
              <w:suppressLineNumbers/>
              <w:suppressAutoHyphens/>
              <w:snapToGrid w:val="0"/>
              <w:rPr>
                <w:sz w:val="20"/>
                <w:lang w:eastAsia="ar-SA"/>
              </w:rPr>
            </w:pPr>
          </w:p>
        </w:tc>
        <w:tc>
          <w:tcPr>
            <w:tcW w:w="1899" w:type="dxa"/>
            <w:tcBorders>
              <w:top w:val="single" w:sz="4" w:space="0" w:color="auto"/>
              <w:left w:val="single" w:sz="4" w:space="0" w:color="auto"/>
              <w:bottom w:val="single" w:sz="4" w:space="0" w:color="auto"/>
              <w:right w:val="single" w:sz="4" w:space="0" w:color="auto"/>
            </w:tcBorders>
          </w:tcPr>
          <w:p>
            <w:pPr>
              <w:suppressLineNumbers/>
              <w:suppressAutoHyphens/>
              <w:snapToGrid w:val="0"/>
              <w:rPr>
                <w:sz w:val="20"/>
                <w:lang w:eastAsia="ar-SA"/>
              </w:rPr>
            </w:pPr>
          </w:p>
        </w:tc>
        <w:tc>
          <w:tcPr>
            <w:tcW w:w="1919" w:type="dxa"/>
            <w:tcBorders>
              <w:top w:val="single" w:sz="4" w:space="0" w:color="auto"/>
              <w:left w:val="single" w:sz="4" w:space="0" w:color="auto"/>
              <w:bottom w:val="single" w:sz="4" w:space="0" w:color="auto"/>
              <w:right w:val="single" w:sz="4" w:space="0" w:color="auto"/>
            </w:tcBorders>
          </w:tcPr>
          <w:p>
            <w:pPr>
              <w:suppressLineNumbers/>
              <w:suppressAutoHyphens/>
              <w:snapToGrid w:val="0"/>
              <w:rPr>
                <w:sz w:val="20"/>
                <w:lang w:eastAsia="ar-SA"/>
              </w:rPr>
            </w:pPr>
          </w:p>
        </w:tc>
      </w:tr>
      <w:tr>
        <w:tc>
          <w:tcPr>
            <w:tcW w:w="993" w:type="dxa"/>
            <w:tcBorders>
              <w:top w:val="single" w:sz="4" w:space="0" w:color="auto"/>
              <w:left w:val="single" w:sz="4" w:space="0" w:color="auto"/>
              <w:bottom w:val="single" w:sz="4" w:space="0" w:color="auto"/>
              <w:right w:val="single" w:sz="4" w:space="0" w:color="auto"/>
            </w:tcBorders>
            <w:hideMark/>
          </w:tcPr>
          <w:p>
            <w:pPr>
              <w:suppressLineNumbers/>
              <w:suppressAutoHyphens/>
              <w:snapToGrid w:val="0"/>
              <w:ind w:right="-55"/>
              <w:jc w:val="center"/>
              <w:rPr>
                <w:sz w:val="20"/>
                <w:lang w:eastAsia="ar-SA"/>
              </w:rPr>
            </w:pPr>
            <w:r>
              <w:rPr>
                <w:sz w:val="20"/>
                <w:lang w:eastAsia="ar-SA"/>
              </w:rPr>
              <w:t>11.1.3</w:t>
            </w:r>
          </w:p>
        </w:tc>
        <w:tc>
          <w:tcPr>
            <w:tcW w:w="3118" w:type="dxa"/>
            <w:tcBorders>
              <w:top w:val="single" w:sz="4" w:space="0" w:color="auto"/>
              <w:left w:val="single" w:sz="4" w:space="0" w:color="auto"/>
              <w:bottom w:val="single" w:sz="4" w:space="0" w:color="auto"/>
              <w:right w:val="single" w:sz="4" w:space="0" w:color="auto"/>
            </w:tcBorders>
          </w:tcPr>
          <w:p>
            <w:pPr>
              <w:suppressLineNumbers/>
              <w:suppressAutoHyphens/>
              <w:snapToGrid w:val="0"/>
              <w:rPr>
                <w:strike/>
                <w:sz w:val="20"/>
                <w:lang w:eastAsia="ar-SA"/>
              </w:rPr>
            </w:pPr>
            <w:r>
              <w:rPr>
                <w:sz w:val="20"/>
                <w:lang w:eastAsia="ar-SA"/>
              </w:rPr>
              <w:t>valstybės paramos lėšos, kurios skiriamos apmokant projekto parengimo, jo administravimo ir statybos techninės priežiūros išlaidas</w:t>
            </w:r>
          </w:p>
          <w:p>
            <w:pPr>
              <w:suppressLineNumbers/>
              <w:suppressAutoHyphens/>
              <w:snapToGrid w:val="0"/>
              <w:rPr>
                <w:strike/>
                <w:sz w:val="20"/>
                <w:lang w:eastAsia="ar-SA"/>
              </w:rPr>
            </w:pPr>
          </w:p>
        </w:tc>
        <w:tc>
          <w:tcPr>
            <w:tcW w:w="1701" w:type="dxa"/>
            <w:tcBorders>
              <w:top w:val="single" w:sz="4" w:space="0" w:color="auto"/>
              <w:left w:val="single" w:sz="4" w:space="0" w:color="auto"/>
              <w:bottom w:val="single" w:sz="4" w:space="0" w:color="auto"/>
              <w:right w:val="single" w:sz="4" w:space="0" w:color="auto"/>
            </w:tcBorders>
          </w:tcPr>
          <w:p>
            <w:pPr>
              <w:suppressLineNumbers/>
              <w:suppressAutoHyphens/>
              <w:snapToGrid w:val="0"/>
              <w:rPr>
                <w:sz w:val="20"/>
                <w:lang w:eastAsia="ar-SA"/>
              </w:rPr>
            </w:pPr>
          </w:p>
        </w:tc>
        <w:tc>
          <w:tcPr>
            <w:tcW w:w="1899" w:type="dxa"/>
            <w:tcBorders>
              <w:top w:val="single" w:sz="4" w:space="0" w:color="auto"/>
              <w:left w:val="single" w:sz="4" w:space="0" w:color="auto"/>
              <w:bottom w:val="single" w:sz="4" w:space="0" w:color="auto"/>
              <w:right w:val="single" w:sz="4" w:space="0" w:color="auto"/>
            </w:tcBorders>
          </w:tcPr>
          <w:p>
            <w:pPr>
              <w:suppressLineNumbers/>
              <w:suppressAutoHyphens/>
              <w:snapToGrid w:val="0"/>
              <w:rPr>
                <w:sz w:val="20"/>
                <w:lang w:eastAsia="ar-SA"/>
              </w:rPr>
            </w:pPr>
          </w:p>
        </w:tc>
        <w:tc>
          <w:tcPr>
            <w:tcW w:w="1919" w:type="dxa"/>
            <w:tcBorders>
              <w:top w:val="single" w:sz="4" w:space="0" w:color="auto"/>
              <w:left w:val="single" w:sz="4" w:space="0" w:color="auto"/>
              <w:bottom w:val="single" w:sz="4" w:space="0" w:color="auto"/>
              <w:right w:val="single" w:sz="4" w:space="0" w:color="auto"/>
            </w:tcBorders>
          </w:tcPr>
          <w:p>
            <w:pPr>
              <w:suppressLineNumbers/>
              <w:suppressAutoHyphens/>
              <w:snapToGrid w:val="0"/>
              <w:rPr>
                <w:sz w:val="20"/>
                <w:lang w:eastAsia="ar-SA"/>
              </w:rPr>
            </w:pPr>
          </w:p>
        </w:tc>
      </w:tr>
      <w:tr>
        <w:tc>
          <w:tcPr>
            <w:tcW w:w="993" w:type="dxa"/>
            <w:tcBorders>
              <w:top w:val="single" w:sz="4" w:space="0" w:color="auto"/>
              <w:left w:val="single" w:sz="4" w:space="0" w:color="auto"/>
              <w:bottom w:val="single" w:sz="4" w:space="0" w:color="auto"/>
              <w:right w:val="single" w:sz="4" w:space="0" w:color="auto"/>
            </w:tcBorders>
            <w:hideMark/>
          </w:tcPr>
          <w:p>
            <w:pPr>
              <w:suppressLineNumbers/>
              <w:suppressAutoHyphens/>
              <w:snapToGrid w:val="0"/>
              <w:ind w:right="-55"/>
              <w:jc w:val="center"/>
              <w:rPr>
                <w:sz w:val="20"/>
                <w:lang w:eastAsia="ar-SA"/>
              </w:rPr>
            </w:pPr>
            <w:r>
              <w:rPr>
                <w:sz w:val="20"/>
                <w:lang w:eastAsia="ar-SA"/>
              </w:rPr>
              <w:t>11.1.4.</w:t>
            </w:r>
          </w:p>
        </w:tc>
        <w:tc>
          <w:tcPr>
            <w:tcW w:w="3118" w:type="dxa"/>
            <w:tcBorders>
              <w:top w:val="single" w:sz="4" w:space="0" w:color="auto"/>
              <w:left w:val="single" w:sz="4" w:space="0" w:color="auto"/>
              <w:bottom w:val="single" w:sz="4" w:space="0" w:color="auto"/>
              <w:right w:val="single" w:sz="4" w:space="0" w:color="auto"/>
            </w:tcBorders>
            <w:hideMark/>
          </w:tcPr>
          <w:p>
            <w:pPr>
              <w:suppressLineNumbers/>
              <w:suppressAutoHyphens/>
              <w:snapToGrid w:val="0"/>
              <w:rPr>
                <w:strike/>
                <w:sz w:val="20"/>
                <w:lang w:eastAsia="ar-SA"/>
              </w:rPr>
            </w:pPr>
            <w:r>
              <w:rPr>
                <w:sz w:val="20"/>
                <w:lang w:eastAsia="ar-SA"/>
              </w:rPr>
              <w:t>kitos (ES paramos, savivaldybės ar kito paramos tiekėjo lėšos)</w:t>
            </w:r>
          </w:p>
        </w:tc>
        <w:tc>
          <w:tcPr>
            <w:tcW w:w="1701" w:type="dxa"/>
            <w:tcBorders>
              <w:top w:val="single" w:sz="4" w:space="0" w:color="auto"/>
              <w:left w:val="single" w:sz="4" w:space="0" w:color="auto"/>
              <w:bottom w:val="single" w:sz="4" w:space="0" w:color="auto"/>
              <w:right w:val="single" w:sz="4" w:space="0" w:color="auto"/>
            </w:tcBorders>
          </w:tcPr>
          <w:p>
            <w:pPr>
              <w:suppressLineNumbers/>
              <w:suppressAutoHyphens/>
              <w:snapToGrid w:val="0"/>
              <w:rPr>
                <w:sz w:val="20"/>
                <w:lang w:eastAsia="ar-SA"/>
              </w:rPr>
            </w:pPr>
          </w:p>
        </w:tc>
        <w:tc>
          <w:tcPr>
            <w:tcW w:w="1899" w:type="dxa"/>
            <w:tcBorders>
              <w:top w:val="single" w:sz="4" w:space="0" w:color="auto"/>
              <w:left w:val="single" w:sz="4" w:space="0" w:color="auto"/>
              <w:bottom w:val="single" w:sz="4" w:space="0" w:color="auto"/>
              <w:right w:val="single" w:sz="4" w:space="0" w:color="auto"/>
            </w:tcBorders>
          </w:tcPr>
          <w:p>
            <w:pPr>
              <w:suppressLineNumbers/>
              <w:suppressAutoHyphens/>
              <w:snapToGrid w:val="0"/>
              <w:rPr>
                <w:sz w:val="20"/>
                <w:lang w:eastAsia="ar-SA"/>
              </w:rPr>
            </w:pPr>
          </w:p>
        </w:tc>
        <w:tc>
          <w:tcPr>
            <w:tcW w:w="1919" w:type="dxa"/>
            <w:tcBorders>
              <w:top w:val="single" w:sz="4" w:space="0" w:color="auto"/>
              <w:left w:val="single" w:sz="4" w:space="0" w:color="auto"/>
              <w:bottom w:val="single" w:sz="4" w:space="0" w:color="auto"/>
              <w:right w:val="single" w:sz="4" w:space="0" w:color="auto"/>
            </w:tcBorders>
          </w:tcPr>
          <w:p>
            <w:pPr>
              <w:suppressLineNumbers/>
              <w:suppressAutoHyphens/>
              <w:snapToGrid w:val="0"/>
              <w:rPr>
                <w:sz w:val="20"/>
                <w:lang w:eastAsia="ar-SA"/>
              </w:rPr>
            </w:pPr>
          </w:p>
        </w:tc>
      </w:tr>
      <w:tr>
        <w:tc>
          <w:tcPr>
            <w:tcW w:w="4111" w:type="dxa"/>
            <w:gridSpan w:val="2"/>
            <w:tcBorders>
              <w:top w:val="single" w:sz="4" w:space="0" w:color="auto"/>
              <w:left w:val="single" w:sz="4" w:space="0" w:color="auto"/>
              <w:bottom w:val="single" w:sz="4" w:space="0" w:color="auto"/>
              <w:right w:val="single" w:sz="4" w:space="0" w:color="auto"/>
            </w:tcBorders>
            <w:hideMark/>
          </w:tcPr>
          <w:p>
            <w:pPr>
              <w:suppressLineNumbers/>
              <w:suppressAutoHyphens/>
              <w:snapToGrid w:val="0"/>
              <w:jc w:val="right"/>
              <w:rPr>
                <w:sz w:val="20"/>
                <w:lang w:eastAsia="ar-SA"/>
              </w:rPr>
            </w:pPr>
            <w:r>
              <w:rPr>
                <w:sz w:val="20"/>
                <w:lang w:eastAsia="ar-SA"/>
              </w:rPr>
              <w:t>Iš viso:</w:t>
            </w:r>
          </w:p>
        </w:tc>
        <w:tc>
          <w:tcPr>
            <w:tcW w:w="1701" w:type="dxa"/>
            <w:tcBorders>
              <w:top w:val="single" w:sz="4" w:space="0" w:color="auto"/>
              <w:left w:val="single" w:sz="4" w:space="0" w:color="auto"/>
              <w:bottom w:val="single" w:sz="4" w:space="0" w:color="auto"/>
              <w:right w:val="single" w:sz="4" w:space="0" w:color="auto"/>
            </w:tcBorders>
          </w:tcPr>
          <w:p>
            <w:pPr>
              <w:suppressLineNumbers/>
              <w:suppressAutoHyphens/>
              <w:snapToGrid w:val="0"/>
              <w:rPr>
                <w:sz w:val="20"/>
                <w:lang w:eastAsia="ar-SA"/>
              </w:rPr>
            </w:pPr>
          </w:p>
        </w:tc>
        <w:tc>
          <w:tcPr>
            <w:tcW w:w="1899" w:type="dxa"/>
            <w:tcBorders>
              <w:top w:val="single" w:sz="4" w:space="0" w:color="auto"/>
              <w:left w:val="single" w:sz="4" w:space="0" w:color="auto"/>
              <w:bottom w:val="single" w:sz="4" w:space="0" w:color="auto"/>
              <w:right w:val="single" w:sz="4" w:space="0" w:color="auto"/>
            </w:tcBorders>
            <w:hideMark/>
          </w:tcPr>
          <w:p>
            <w:pPr>
              <w:suppressLineNumbers/>
              <w:suppressAutoHyphens/>
              <w:snapToGrid w:val="0"/>
              <w:jc w:val="center"/>
              <w:rPr>
                <w:sz w:val="20"/>
                <w:lang w:eastAsia="ar-SA"/>
              </w:rPr>
            </w:pPr>
            <w:r>
              <w:rPr>
                <w:sz w:val="20"/>
                <w:lang w:eastAsia="ar-SA"/>
              </w:rPr>
              <w:t>100%</w:t>
            </w:r>
          </w:p>
        </w:tc>
        <w:tc>
          <w:tcPr>
            <w:tcW w:w="1919" w:type="dxa"/>
            <w:tcBorders>
              <w:top w:val="single" w:sz="4" w:space="0" w:color="auto"/>
              <w:left w:val="single" w:sz="4" w:space="0" w:color="auto"/>
              <w:bottom w:val="single" w:sz="4" w:space="0" w:color="auto"/>
              <w:right w:val="single" w:sz="4" w:space="0" w:color="auto"/>
            </w:tcBorders>
          </w:tcPr>
          <w:p>
            <w:pPr>
              <w:suppressLineNumbers/>
              <w:suppressAutoHyphens/>
              <w:snapToGrid w:val="0"/>
              <w:rPr>
                <w:sz w:val="20"/>
                <w:lang w:eastAsia="ar-SA"/>
              </w:rPr>
            </w:pPr>
          </w:p>
        </w:tc>
      </w:tr>
      <w:tr>
        <w:tc>
          <w:tcPr>
            <w:tcW w:w="993" w:type="dxa"/>
            <w:tcBorders>
              <w:top w:val="single" w:sz="4" w:space="0" w:color="auto"/>
              <w:left w:val="single" w:sz="4" w:space="0" w:color="auto"/>
              <w:bottom w:val="single" w:sz="4" w:space="0" w:color="auto"/>
              <w:right w:val="single" w:sz="4" w:space="0" w:color="auto"/>
            </w:tcBorders>
          </w:tcPr>
          <w:p>
            <w:pPr>
              <w:suppressLineNumbers/>
              <w:suppressAutoHyphens/>
              <w:snapToGrid w:val="0"/>
              <w:jc w:val="center"/>
              <w:rPr>
                <w:sz w:val="20"/>
                <w:lang w:eastAsia="ar-SA"/>
              </w:rPr>
            </w:pPr>
            <w:r>
              <w:rPr>
                <w:sz w:val="20"/>
                <w:lang w:eastAsia="ar-SA"/>
              </w:rPr>
              <w:t>11.2.</w:t>
            </w:r>
          </w:p>
        </w:tc>
        <w:tc>
          <w:tcPr>
            <w:tcW w:w="3118" w:type="dxa"/>
            <w:tcBorders>
              <w:top w:val="single" w:sz="4" w:space="0" w:color="auto"/>
              <w:left w:val="single" w:sz="4" w:space="0" w:color="auto"/>
              <w:bottom w:val="single" w:sz="4" w:space="0" w:color="auto"/>
              <w:right w:val="single" w:sz="4" w:space="0" w:color="auto"/>
            </w:tcBorders>
          </w:tcPr>
          <w:p>
            <w:pPr>
              <w:suppressLineNumbers/>
              <w:suppressAutoHyphens/>
              <w:snapToGrid w:val="0"/>
              <w:rPr>
                <w:sz w:val="20"/>
                <w:lang w:eastAsia="ar-SA"/>
              </w:rPr>
            </w:pPr>
            <w:r>
              <w:rPr>
                <w:b/>
                <w:sz w:val="20"/>
                <w:lang w:eastAsia="ar-SA"/>
              </w:rPr>
              <w:t>valstybės paramos lėšos, kurios bus skiriamos kompensuojant išlaidas įgyvendinus projektą, iš jų</w:t>
            </w:r>
            <w:r>
              <w:rPr>
                <w:sz w:val="20"/>
                <w:lang w:eastAsia="ar-SA"/>
              </w:rPr>
              <w:t>:</w:t>
            </w:r>
          </w:p>
        </w:tc>
        <w:tc>
          <w:tcPr>
            <w:tcW w:w="1701" w:type="dxa"/>
            <w:tcBorders>
              <w:top w:val="single" w:sz="4" w:space="0" w:color="auto"/>
              <w:left w:val="single" w:sz="4" w:space="0" w:color="auto"/>
              <w:bottom w:val="single" w:sz="4" w:space="0" w:color="auto"/>
              <w:right w:val="single" w:sz="4" w:space="0" w:color="auto"/>
            </w:tcBorders>
          </w:tcPr>
          <w:p>
            <w:pPr>
              <w:suppressLineNumbers/>
              <w:suppressAutoHyphens/>
              <w:snapToGrid w:val="0"/>
              <w:rPr>
                <w:sz w:val="20"/>
                <w:lang w:eastAsia="ar-SA"/>
              </w:rPr>
            </w:pPr>
          </w:p>
        </w:tc>
        <w:tc>
          <w:tcPr>
            <w:tcW w:w="1899" w:type="dxa"/>
            <w:tcBorders>
              <w:top w:val="single" w:sz="4" w:space="0" w:color="auto"/>
              <w:left w:val="single" w:sz="4" w:space="0" w:color="auto"/>
              <w:bottom w:val="single" w:sz="4" w:space="0" w:color="auto"/>
              <w:right w:val="single" w:sz="4" w:space="0" w:color="auto"/>
            </w:tcBorders>
          </w:tcPr>
          <w:p>
            <w:pPr>
              <w:suppressLineNumbers/>
              <w:suppressAutoHyphens/>
              <w:snapToGrid w:val="0"/>
              <w:rPr>
                <w:sz w:val="20"/>
                <w:lang w:eastAsia="ar-SA"/>
              </w:rPr>
            </w:pPr>
          </w:p>
        </w:tc>
        <w:tc>
          <w:tcPr>
            <w:tcW w:w="1919" w:type="dxa"/>
            <w:tcBorders>
              <w:top w:val="single" w:sz="4" w:space="0" w:color="auto"/>
              <w:left w:val="single" w:sz="4" w:space="0" w:color="auto"/>
              <w:bottom w:val="single" w:sz="4" w:space="0" w:color="auto"/>
              <w:right w:val="single" w:sz="4" w:space="0" w:color="auto"/>
            </w:tcBorders>
          </w:tcPr>
          <w:p>
            <w:pPr>
              <w:suppressLineNumbers/>
              <w:suppressAutoHyphens/>
              <w:snapToGrid w:val="0"/>
              <w:rPr>
                <w:sz w:val="20"/>
                <w:lang w:eastAsia="ar-SA"/>
              </w:rPr>
            </w:pPr>
          </w:p>
        </w:tc>
      </w:tr>
      <w:tr>
        <w:tc>
          <w:tcPr>
            <w:tcW w:w="993" w:type="dxa"/>
            <w:tcBorders>
              <w:top w:val="single" w:sz="4" w:space="0" w:color="auto"/>
              <w:left w:val="single" w:sz="4" w:space="0" w:color="auto"/>
              <w:bottom w:val="single" w:sz="4" w:space="0" w:color="auto"/>
              <w:right w:val="single" w:sz="4" w:space="0" w:color="auto"/>
            </w:tcBorders>
          </w:tcPr>
          <w:p>
            <w:pPr>
              <w:suppressLineNumbers/>
              <w:suppressAutoHyphens/>
              <w:snapToGrid w:val="0"/>
              <w:jc w:val="center"/>
              <w:rPr>
                <w:sz w:val="20"/>
                <w:lang w:eastAsia="ar-SA"/>
              </w:rPr>
            </w:pPr>
            <w:r>
              <w:rPr>
                <w:sz w:val="20"/>
                <w:lang w:eastAsia="ar-SA"/>
              </w:rPr>
              <w:t>11.2.1.</w:t>
            </w:r>
          </w:p>
        </w:tc>
        <w:tc>
          <w:tcPr>
            <w:tcW w:w="3118" w:type="dxa"/>
            <w:tcBorders>
              <w:top w:val="single" w:sz="4" w:space="0" w:color="auto"/>
              <w:left w:val="single" w:sz="4" w:space="0" w:color="auto"/>
              <w:bottom w:val="single" w:sz="4" w:space="0" w:color="auto"/>
              <w:right w:val="single" w:sz="4" w:space="0" w:color="auto"/>
            </w:tcBorders>
          </w:tcPr>
          <w:p>
            <w:pPr>
              <w:suppressLineNumbers/>
              <w:suppressAutoHyphens/>
              <w:snapToGrid w:val="0"/>
              <w:rPr>
                <w:sz w:val="20"/>
                <w:lang w:eastAsia="ar-SA"/>
              </w:rPr>
            </w:pPr>
            <w:r>
              <w:rPr>
                <w:sz w:val="20"/>
                <w:lang w:eastAsia="ar-SA"/>
              </w:rPr>
              <w:t xml:space="preserve">projekto parengimo išlaidų kompensavimas </w:t>
            </w:r>
          </w:p>
        </w:tc>
        <w:tc>
          <w:tcPr>
            <w:tcW w:w="1701" w:type="dxa"/>
            <w:tcBorders>
              <w:top w:val="single" w:sz="4" w:space="0" w:color="auto"/>
              <w:left w:val="single" w:sz="4" w:space="0" w:color="auto"/>
              <w:bottom w:val="single" w:sz="4" w:space="0" w:color="auto"/>
              <w:right w:val="single" w:sz="4" w:space="0" w:color="auto"/>
            </w:tcBorders>
          </w:tcPr>
          <w:p>
            <w:pPr>
              <w:suppressLineNumbers/>
              <w:suppressAutoHyphens/>
              <w:snapToGrid w:val="0"/>
              <w:rPr>
                <w:sz w:val="20"/>
                <w:lang w:eastAsia="ar-SA"/>
              </w:rPr>
            </w:pPr>
          </w:p>
        </w:tc>
        <w:tc>
          <w:tcPr>
            <w:tcW w:w="1899" w:type="dxa"/>
            <w:tcBorders>
              <w:top w:val="single" w:sz="4" w:space="0" w:color="auto"/>
              <w:left w:val="single" w:sz="4" w:space="0" w:color="auto"/>
              <w:bottom w:val="single" w:sz="4" w:space="0" w:color="auto"/>
              <w:right w:val="single" w:sz="4" w:space="0" w:color="auto"/>
            </w:tcBorders>
          </w:tcPr>
          <w:p>
            <w:pPr>
              <w:suppressLineNumbers/>
              <w:suppressAutoHyphens/>
              <w:snapToGrid w:val="0"/>
              <w:rPr>
                <w:sz w:val="20"/>
                <w:lang w:eastAsia="ar-SA"/>
              </w:rPr>
            </w:pPr>
          </w:p>
        </w:tc>
        <w:tc>
          <w:tcPr>
            <w:tcW w:w="1919" w:type="dxa"/>
            <w:tcBorders>
              <w:top w:val="single" w:sz="4" w:space="0" w:color="auto"/>
              <w:left w:val="single" w:sz="4" w:space="0" w:color="auto"/>
              <w:bottom w:val="single" w:sz="4" w:space="0" w:color="auto"/>
              <w:right w:val="single" w:sz="4" w:space="0" w:color="auto"/>
            </w:tcBorders>
          </w:tcPr>
          <w:p>
            <w:pPr>
              <w:suppressLineNumbers/>
              <w:suppressAutoHyphens/>
              <w:snapToGrid w:val="0"/>
              <w:rPr>
                <w:b/>
                <w:sz w:val="20"/>
                <w:lang w:eastAsia="ar-SA"/>
              </w:rPr>
            </w:pPr>
          </w:p>
        </w:tc>
      </w:tr>
      <w:tr>
        <w:tc>
          <w:tcPr>
            <w:tcW w:w="993" w:type="dxa"/>
            <w:tcBorders>
              <w:top w:val="single" w:sz="4" w:space="0" w:color="auto"/>
              <w:left w:val="single" w:sz="4" w:space="0" w:color="auto"/>
              <w:bottom w:val="single" w:sz="4" w:space="0" w:color="auto"/>
              <w:right w:val="single" w:sz="4" w:space="0" w:color="auto"/>
            </w:tcBorders>
          </w:tcPr>
          <w:p>
            <w:pPr>
              <w:suppressLineNumbers/>
              <w:suppressAutoHyphens/>
              <w:snapToGrid w:val="0"/>
              <w:jc w:val="center"/>
              <w:rPr>
                <w:sz w:val="20"/>
                <w:lang w:eastAsia="ar-SA"/>
              </w:rPr>
            </w:pPr>
            <w:r>
              <w:rPr>
                <w:sz w:val="20"/>
                <w:lang w:eastAsia="ar-SA"/>
              </w:rPr>
              <w:t>11.2.2.</w:t>
            </w:r>
          </w:p>
        </w:tc>
        <w:tc>
          <w:tcPr>
            <w:tcW w:w="3118" w:type="dxa"/>
            <w:tcBorders>
              <w:top w:val="single" w:sz="4" w:space="0" w:color="auto"/>
              <w:left w:val="single" w:sz="4" w:space="0" w:color="auto"/>
              <w:bottom w:val="single" w:sz="4" w:space="0" w:color="auto"/>
              <w:right w:val="single" w:sz="4" w:space="0" w:color="auto"/>
            </w:tcBorders>
          </w:tcPr>
          <w:p>
            <w:pPr>
              <w:suppressLineNumbers/>
              <w:suppressAutoHyphens/>
              <w:snapToGrid w:val="0"/>
              <w:rPr>
                <w:sz w:val="20"/>
                <w:lang w:eastAsia="ar-SA"/>
              </w:rPr>
            </w:pPr>
            <w:r>
              <w:rPr>
                <w:sz w:val="20"/>
                <w:lang w:eastAsia="ar-SA"/>
              </w:rPr>
              <w:t>statybos techninės priežiūros išlaidų kompensavimas</w:t>
            </w:r>
          </w:p>
        </w:tc>
        <w:tc>
          <w:tcPr>
            <w:tcW w:w="1701" w:type="dxa"/>
            <w:tcBorders>
              <w:top w:val="single" w:sz="4" w:space="0" w:color="auto"/>
              <w:left w:val="single" w:sz="4" w:space="0" w:color="auto"/>
              <w:bottom w:val="single" w:sz="4" w:space="0" w:color="auto"/>
              <w:right w:val="single" w:sz="4" w:space="0" w:color="auto"/>
            </w:tcBorders>
          </w:tcPr>
          <w:p>
            <w:pPr>
              <w:suppressLineNumbers/>
              <w:suppressAutoHyphens/>
              <w:snapToGrid w:val="0"/>
              <w:rPr>
                <w:sz w:val="20"/>
                <w:lang w:eastAsia="ar-SA"/>
              </w:rPr>
            </w:pPr>
          </w:p>
        </w:tc>
        <w:tc>
          <w:tcPr>
            <w:tcW w:w="1899" w:type="dxa"/>
            <w:tcBorders>
              <w:top w:val="single" w:sz="4" w:space="0" w:color="auto"/>
              <w:left w:val="single" w:sz="4" w:space="0" w:color="auto"/>
              <w:bottom w:val="single" w:sz="4" w:space="0" w:color="auto"/>
              <w:right w:val="single" w:sz="4" w:space="0" w:color="auto"/>
            </w:tcBorders>
          </w:tcPr>
          <w:p>
            <w:pPr>
              <w:suppressLineNumbers/>
              <w:suppressAutoHyphens/>
              <w:snapToGrid w:val="0"/>
              <w:rPr>
                <w:sz w:val="20"/>
                <w:lang w:eastAsia="ar-SA"/>
              </w:rPr>
            </w:pPr>
          </w:p>
        </w:tc>
        <w:tc>
          <w:tcPr>
            <w:tcW w:w="1919" w:type="dxa"/>
            <w:tcBorders>
              <w:top w:val="single" w:sz="4" w:space="0" w:color="auto"/>
              <w:left w:val="single" w:sz="4" w:space="0" w:color="auto"/>
              <w:bottom w:val="single" w:sz="4" w:space="0" w:color="auto"/>
              <w:right w:val="single" w:sz="4" w:space="0" w:color="auto"/>
            </w:tcBorders>
          </w:tcPr>
          <w:p>
            <w:pPr>
              <w:suppressLineNumbers/>
              <w:suppressAutoHyphens/>
              <w:snapToGrid w:val="0"/>
              <w:rPr>
                <w:b/>
                <w:sz w:val="20"/>
                <w:lang w:eastAsia="ar-SA"/>
              </w:rPr>
            </w:pPr>
          </w:p>
        </w:tc>
      </w:tr>
      <w:tr>
        <w:tc>
          <w:tcPr>
            <w:tcW w:w="993" w:type="dxa"/>
            <w:tcBorders>
              <w:top w:val="single" w:sz="4" w:space="0" w:color="auto"/>
              <w:left w:val="single" w:sz="4" w:space="0" w:color="auto"/>
              <w:bottom w:val="single" w:sz="4" w:space="0" w:color="auto"/>
              <w:right w:val="single" w:sz="4" w:space="0" w:color="auto"/>
            </w:tcBorders>
          </w:tcPr>
          <w:p>
            <w:pPr>
              <w:suppressLineNumbers/>
              <w:suppressAutoHyphens/>
              <w:snapToGrid w:val="0"/>
              <w:jc w:val="center"/>
              <w:rPr>
                <w:sz w:val="20"/>
                <w:lang w:eastAsia="ar-SA"/>
              </w:rPr>
            </w:pPr>
            <w:r>
              <w:rPr>
                <w:sz w:val="20"/>
                <w:lang w:eastAsia="ar-SA"/>
              </w:rPr>
              <w:t xml:space="preserve">11.2.3. </w:t>
            </w:r>
          </w:p>
        </w:tc>
        <w:tc>
          <w:tcPr>
            <w:tcW w:w="3118" w:type="dxa"/>
            <w:tcBorders>
              <w:top w:val="single" w:sz="4" w:space="0" w:color="auto"/>
              <w:left w:val="single" w:sz="4" w:space="0" w:color="auto"/>
              <w:bottom w:val="single" w:sz="4" w:space="0" w:color="auto"/>
              <w:right w:val="single" w:sz="4" w:space="0" w:color="auto"/>
            </w:tcBorders>
          </w:tcPr>
          <w:p>
            <w:pPr>
              <w:suppressLineNumbers/>
              <w:suppressAutoHyphens/>
              <w:snapToGrid w:val="0"/>
              <w:rPr>
                <w:sz w:val="20"/>
                <w:lang w:eastAsia="ar-SA"/>
              </w:rPr>
            </w:pPr>
            <w:r>
              <w:rPr>
                <w:sz w:val="20"/>
                <w:lang w:eastAsia="ar-SA"/>
              </w:rPr>
              <w:t>projekto įgyvendinimo</w:t>
            </w:r>
            <w:r>
              <w:rPr>
                <w:b/>
                <w:sz w:val="20"/>
                <w:lang w:eastAsia="ar-SA"/>
              </w:rPr>
              <w:t xml:space="preserve"> </w:t>
            </w:r>
            <w:r>
              <w:rPr>
                <w:sz w:val="20"/>
                <w:lang w:eastAsia="ar-SA"/>
              </w:rPr>
              <w:t>administravimo išlaidų kompensavimas</w:t>
            </w:r>
          </w:p>
        </w:tc>
        <w:tc>
          <w:tcPr>
            <w:tcW w:w="1701" w:type="dxa"/>
            <w:tcBorders>
              <w:top w:val="single" w:sz="4" w:space="0" w:color="auto"/>
              <w:left w:val="single" w:sz="4" w:space="0" w:color="auto"/>
              <w:bottom w:val="single" w:sz="4" w:space="0" w:color="auto"/>
              <w:right w:val="single" w:sz="4" w:space="0" w:color="auto"/>
            </w:tcBorders>
          </w:tcPr>
          <w:p>
            <w:pPr>
              <w:suppressLineNumbers/>
              <w:suppressAutoHyphens/>
              <w:snapToGrid w:val="0"/>
              <w:rPr>
                <w:sz w:val="20"/>
                <w:lang w:eastAsia="ar-SA"/>
              </w:rPr>
            </w:pPr>
          </w:p>
        </w:tc>
        <w:tc>
          <w:tcPr>
            <w:tcW w:w="1899" w:type="dxa"/>
            <w:tcBorders>
              <w:top w:val="single" w:sz="4" w:space="0" w:color="auto"/>
              <w:left w:val="single" w:sz="4" w:space="0" w:color="auto"/>
              <w:bottom w:val="single" w:sz="4" w:space="0" w:color="auto"/>
              <w:right w:val="single" w:sz="4" w:space="0" w:color="auto"/>
            </w:tcBorders>
          </w:tcPr>
          <w:p>
            <w:pPr>
              <w:suppressLineNumbers/>
              <w:suppressAutoHyphens/>
              <w:snapToGrid w:val="0"/>
              <w:rPr>
                <w:sz w:val="20"/>
                <w:lang w:eastAsia="ar-SA"/>
              </w:rPr>
            </w:pPr>
          </w:p>
        </w:tc>
        <w:tc>
          <w:tcPr>
            <w:tcW w:w="1919" w:type="dxa"/>
            <w:tcBorders>
              <w:top w:val="single" w:sz="4" w:space="0" w:color="auto"/>
              <w:left w:val="single" w:sz="4" w:space="0" w:color="auto"/>
              <w:bottom w:val="single" w:sz="4" w:space="0" w:color="auto"/>
              <w:right w:val="single" w:sz="4" w:space="0" w:color="auto"/>
            </w:tcBorders>
          </w:tcPr>
          <w:p>
            <w:pPr>
              <w:suppressLineNumbers/>
              <w:suppressAutoHyphens/>
              <w:snapToGrid w:val="0"/>
              <w:rPr>
                <w:b/>
                <w:sz w:val="20"/>
                <w:lang w:eastAsia="ar-SA"/>
              </w:rPr>
            </w:pPr>
          </w:p>
        </w:tc>
      </w:tr>
      <w:tr>
        <w:tc>
          <w:tcPr>
            <w:tcW w:w="993" w:type="dxa"/>
            <w:tcBorders>
              <w:top w:val="single" w:sz="4" w:space="0" w:color="auto"/>
              <w:left w:val="single" w:sz="4" w:space="0" w:color="auto"/>
              <w:bottom w:val="single" w:sz="4" w:space="0" w:color="auto"/>
              <w:right w:val="single" w:sz="4" w:space="0" w:color="auto"/>
            </w:tcBorders>
          </w:tcPr>
          <w:p>
            <w:pPr>
              <w:suppressAutoHyphens/>
              <w:jc w:val="center"/>
              <w:rPr>
                <w:sz w:val="20"/>
                <w:lang w:eastAsia="lt-LT"/>
              </w:rPr>
            </w:pPr>
            <w:r>
              <w:rPr>
                <w:sz w:val="20"/>
                <w:lang w:eastAsia="lt-LT"/>
              </w:rPr>
              <w:t>11.2.4.</w:t>
            </w:r>
          </w:p>
        </w:tc>
        <w:tc>
          <w:tcPr>
            <w:tcW w:w="3118" w:type="dxa"/>
            <w:tcBorders>
              <w:top w:val="single" w:sz="4" w:space="0" w:color="auto"/>
              <w:left w:val="single" w:sz="4" w:space="0" w:color="auto"/>
              <w:bottom w:val="single" w:sz="4" w:space="0" w:color="auto"/>
              <w:right w:val="single" w:sz="4" w:space="0" w:color="auto"/>
            </w:tcBorders>
          </w:tcPr>
          <w:p>
            <w:pPr>
              <w:suppressAutoHyphens/>
              <w:rPr>
                <w:sz w:val="20"/>
                <w:lang w:eastAsia="lt-LT"/>
              </w:rPr>
            </w:pPr>
            <w:r>
              <w:rPr>
                <w:sz w:val="20"/>
                <w:lang w:eastAsia="lt-LT"/>
              </w:rPr>
              <w:t xml:space="preserve">valstybės parama, tenkanti energinį efektyvumą didinančioms priemonėms: </w:t>
            </w:r>
          </w:p>
        </w:tc>
        <w:tc>
          <w:tcPr>
            <w:tcW w:w="1701" w:type="dxa"/>
            <w:tcBorders>
              <w:top w:val="single" w:sz="4" w:space="0" w:color="auto"/>
              <w:left w:val="single" w:sz="4" w:space="0" w:color="auto"/>
              <w:bottom w:val="single" w:sz="4" w:space="0" w:color="auto"/>
              <w:right w:val="single" w:sz="4" w:space="0" w:color="auto"/>
            </w:tcBorders>
          </w:tcPr>
          <w:p>
            <w:pPr>
              <w:suppressLineNumbers/>
              <w:suppressAutoHyphens/>
              <w:snapToGrid w:val="0"/>
              <w:rPr>
                <w:sz w:val="20"/>
                <w:lang w:eastAsia="ar-SA"/>
              </w:rPr>
            </w:pPr>
          </w:p>
        </w:tc>
        <w:tc>
          <w:tcPr>
            <w:tcW w:w="1899" w:type="dxa"/>
            <w:tcBorders>
              <w:top w:val="single" w:sz="4" w:space="0" w:color="auto"/>
              <w:left w:val="single" w:sz="4" w:space="0" w:color="auto"/>
              <w:bottom w:val="single" w:sz="4" w:space="0" w:color="auto"/>
              <w:right w:val="single" w:sz="4" w:space="0" w:color="auto"/>
            </w:tcBorders>
          </w:tcPr>
          <w:p>
            <w:pPr>
              <w:suppressLineNumbers/>
              <w:suppressAutoHyphens/>
              <w:snapToGrid w:val="0"/>
              <w:rPr>
                <w:sz w:val="20"/>
                <w:lang w:eastAsia="ar-SA"/>
              </w:rPr>
            </w:pPr>
          </w:p>
        </w:tc>
        <w:tc>
          <w:tcPr>
            <w:tcW w:w="1919" w:type="dxa"/>
            <w:tcBorders>
              <w:top w:val="single" w:sz="4" w:space="0" w:color="auto"/>
              <w:left w:val="single" w:sz="4" w:space="0" w:color="auto"/>
              <w:bottom w:val="single" w:sz="4" w:space="0" w:color="auto"/>
              <w:right w:val="single" w:sz="4" w:space="0" w:color="auto"/>
            </w:tcBorders>
          </w:tcPr>
          <w:p>
            <w:pPr>
              <w:suppressLineNumbers/>
              <w:suppressAutoHyphens/>
              <w:snapToGrid w:val="0"/>
              <w:rPr>
                <w:b/>
                <w:sz w:val="20"/>
                <w:lang w:eastAsia="ar-SA"/>
              </w:rPr>
            </w:pPr>
          </w:p>
        </w:tc>
      </w:tr>
      <w:tr>
        <w:tc>
          <w:tcPr>
            <w:tcW w:w="993" w:type="dxa"/>
            <w:tcBorders>
              <w:top w:val="single" w:sz="4" w:space="0" w:color="auto"/>
              <w:left w:val="single" w:sz="4" w:space="0" w:color="auto"/>
              <w:bottom w:val="single" w:sz="4" w:space="0" w:color="auto"/>
              <w:right w:val="single" w:sz="4" w:space="0" w:color="auto"/>
            </w:tcBorders>
          </w:tcPr>
          <w:p>
            <w:pPr>
              <w:suppressAutoHyphens/>
              <w:jc w:val="center"/>
              <w:rPr>
                <w:sz w:val="20"/>
                <w:lang w:eastAsia="lt-LT"/>
              </w:rPr>
            </w:pPr>
            <w:r>
              <w:rPr>
                <w:sz w:val="20"/>
                <w:lang w:eastAsia="lt-LT"/>
              </w:rPr>
              <w:t>11.2.4.1.</w:t>
            </w:r>
          </w:p>
        </w:tc>
        <w:tc>
          <w:tcPr>
            <w:tcW w:w="3118" w:type="dxa"/>
            <w:tcBorders>
              <w:top w:val="single" w:sz="4" w:space="0" w:color="auto"/>
              <w:left w:val="single" w:sz="4" w:space="0" w:color="auto"/>
              <w:bottom w:val="single" w:sz="4" w:space="0" w:color="auto"/>
              <w:right w:val="single" w:sz="4" w:space="0" w:color="auto"/>
            </w:tcBorders>
          </w:tcPr>
          <w:p>
            <w:pPr>
              <w:suppressAutoHyphens/>
              <w:rPr>
                <w:sz w:val="20"/>
                <w:lang w:eastAsia="lt-LT"/>
              </w:rPr>
            </w:pPr>
            <w:r>
              <w:rPr>
                <w:rFonts w:eastAsia="Calibri"/>
                <w:sz w:val="20"/>
              </w:rPr>
              <w:t>kompensuojant 30 proc. investicijų, tenkančių Vyriausybės nustatytoms energinį efektyvumą didinančioms priemonėms</w:t>
            </w:r>
          </w:p>
        </w:tc>
        <w:tc>
          <w:tcPr>
            <w:tcW w:w="1701" w:type="dxa"/>
            <w:tcBorders>
              <w:top w:val="single" w:sz="4" w:space="0" w:color="auto"/>
              <w:left w:val="single" w:sz="4" w:space="0" w:color="auto"/>
              <w:bottom w:val="single" w:sz="4" w:space="0" w:color="auto"/>
              <w:right w:val="single" w:sz="4" w:space="0" w:color="auto"/>
            </w:tcBorders>
          </w:tcPr>
          <w:p>
            <w:pPr>
              <w:suppressLineNumbers/>
              <w:suppressAutoHyphens/>
              <w:snapToGrid w:val="0"/>
              <w:rPr>
                <w:sz w:val="20"/>
                <w:lang w:eastAsia="ar-SA"/>
              </w:rPr>
            </w:pPr>
          </w:p>
        </w:tc>
        <w:tc>
          <w:tcPr>
            <w:tcW w:w="1899" w:type="dxa"/>
            <w:tcBorders>
              <w:top w:val="single" w:sz="4" w:space="0" w:color="auto"/>
              <w:left w:val="single" w:sz="4" w:space="0" w:color="auto"/>
              <w:bottom w:val="single" w:sz="4" w:space="0" w:color="auto"/>
              <w:right w:val="single" w:sz="4" w:space="0" w:color="auto"/>
            </w:tcBorders>
          </w:tcPr>
          <w:p>
            <w:pPr>
              <w:suppressLineNumbers/>
              <w:suppressAutoHyphens/>
              <w:snapToGrid w:val="0"/>
              <w:rPr>
                <w:sz w:val="20"/>
                <w:lang w:eastAsia="ar-SA"/>
              </w:rPr>
            </w:pPr>
          </w:p>
        </w:tc>
        <w:tc>
          <w:tcPr>
            <w:tcW w:w="1919" w:type="dxa"/>
            <w:tcBorders>
              <w:top w:val="single" w:sz="4" w:space="0" w:color="auto"/>
              <w:left w:val="single" w:sz="4" w:space="0" w:color="auto"/>
              <w:bottom w:val="single" w:sz="4" w:space="0" w:color="auto"/>
              <w:right w:val="single" w:sz="4" w:space="0" w:color="auto"/>
            </w:tcBorders>
          </w:tcPr>
          <w:p>
            <w:pPr>
              <w:suppressLineNumbers/>
              <w:suppressAutoHyphens/>
              <w:snapToGrid w:val="0"/>
              <w:rPr>
                <w:b/>
                <w:sz w:val="20"/>
                <w:lang w:eastAsia="ar-SA"/>
              </w:rPr>
            </w:pPr>
          </w:p>
        </w:tc>
      </w:tr>
      <w:tr>
        <w:tc>
          <w:tcPr>
            <w:tcW w:w="993" w:type="dxa"/>
            <w:tcBorders>
              <w:top w:val="single" w:sz="4" w:space="0" w:color="auto"/>
              <w:left w:val="single" w:sz="4" w:space="0" w:color="auto"/>
              <w:bottom w:val="single" w:sz="4" w:space="0" w:color="auto"/>
              <w:right w:val="single" w:sz="4" w:space="0" w:color="auto"/>
            </w:tcBorders>
          </w:tcPr>
          <w:p>
            <w:pPr>
              <w:suppressAutoHyphens/>
              <w:jc w:val="center"/>
              <w:rPr>
                <w:sz w:val="20"/>
                <w:lang w:eastAsia="lt-LT"/>
              </w:rPr>
            </w:pPr>
            <w:r>
              <w:rPr>
                <w:sz w:val="20"/>
                <w:lang w:eastAsia="lt-LT"/>
              </w:rPr>
              <w:t>11.2.4.2.</w:t>
            </w:r>
          </w:p>
        </w:tc>
        <w:tc>
          <w:tcPr>
            <w:tcW w:w="3118" w:type="dxa"/>
            <w:tcBorders>
              <w:top w:val="single" w:sz="4" w:space="0" w:color="auto"/>
              <w:left w:val="single" w:sz="4" w:space="0" w:color="auto"/>
              <w:bottom w:val="single" w:sz="4" w:space="0" w:color="auto"/>
              <w:right w:val="single" w:sz="4" w:space="0" w:color="auto"/>
            </w:tcBorders>
          </w:tcPr>
          <w:p>
            <w:pPr>
              <w:suppressAutoHyphens/>
              <w:rPr>
                <w:sz w:val="20"/>
                <w:lang w:eastAsia="lt-LT"/>
              </w:rPr>
            </w:pPr>
            <w:r>
              <w:rPr>
                <w:rFonts w:eastAsia="Calibri"/>
                <w:sz w:val="20"/>
              </w:rPr>
              <w:t>papildoma valstybės parama,</w:t>
            </w:r>
            <w:r>
              <w:rPr>
                <w:rFonts w:eastAsia="Calibri"/>
                <w:strike/>
                <w:sz w:val="20"/>
              </w:rPr>
              <w:t xml:space="preserve"> </w:t>
            </w:r>
            <w:r>
              <w:rPr>
                <w:rFonts w:eastAsia="Calibri"/>
                <w:sz w:val="20"/>
              </w:rPr>
              <w:t>kompensuojant 10 proc. šių priemonių įgyvendinimo kainos</w:t>
            </w:r>
          </w:p>
        </w:tc>
        <w:tc>
          <w:tcPr>
            <w:tcW w:w="1701" w:type="dxa"/>
            <w:tcBorders>
              <w:top w:val="single" w:sz="4" w:space="0" w:color="auto"/>
              <w:left w:val="single" w:sz="4" w:space="0" w:color="auto"/>
              <w:bottom w:val="single" w:sz="4" w:space="0" w:color="auto"/>
              <w:right w:val="single" w:sz="4" w:space="0" w:color="auto"/>
            </w:tcBorders>
          </w:tcPr>
          <w:p>
            <w:pPr>
              <w:suppressLineNumbers/>
              <w:suppressAutoHyphens/>
              <w:snapToGrid w:val="0"/>
              <w:rPr>
                <w:sz w:val="20"/>
                <w:lang w:eastAsia="ar-SA"/>
              </w:rPr>
            </w:pPr>
          </w:p>
        </w:tc>
        <w:tc>
          <w:tcPr>
            <w:tcW w:w="1899" w:type="dxa"/>
            <w:tcBorders>
              <w:top w:val="single" w:sz="4" w:space="0" w:color="auto"/>
              <w:left w:val="single" w:sz="4" w:space="0" w:color="auto"/>
              <w:bottom w:val="single" w:sz="4" w:space="0" w:color="auto"/>
              <w:right w:val="single" w:sz="4" w:space="0" w:color="auto"/>
            </w:tcBorders>
          </w:tcPr>
          <w:p>
            <w:pPr>
              <w:suppressLineNumbers/>
              <w:suppressAutoHyphens/>
              <w:snapToGrid w:val="0"/>
              <w:rPr>
                <w:sz w:val="20"/>
                <w:lang w:eastAsia="ar-SA"/>
              </w:rPr>
            </w:pPr>
          </w:p>
        </w:tc>
        <w:tc>
          <w:tcPr>
            <w:tcW w:w="1919" w:type="dxa"/>
            <w:tcBorders>
              <w:top w:val="single" w:sz="4" w:space="0" w:color="auto"/>
              <w:left w:val="single" w:sz="4" w:space="0" w:color="auto"/>
              <w:bottom w:val="single" w:sz="4" w:space="0" w:color="auto"/>
              <w:right w:val="single" w:sz="4" w:space="0" w:color="auto"/>
            </w:tcBorders>
          </w:tcPr>
          <w:p>
            <w:pPr>
              <w:suppressLineNumbers/>
              <w:suppressAutoHyphens/>
              <w:snapToGrid w:val="0"/>
              <w:rPr>
                <w:b/>
                <w:sz w:val="20"/>
                <w:lang w:eastAsia="ar-SA"/>
              </w:rPr>
            </w:pPr>
          </w:p>
        </w:tc>
      </w:tr>
      <w:tr>
        <w:tc>
          <w:tcPr>
            <w:tcW w:w="993" w:type="dxa"/>
            <w:tcBorders>
              <w:top w:val="single" w:sz="4" w:space="0" w:color="auto"/>
              <w:left w:val="single" w:sz="4" w:space="0" w:color="auto"/>
              <w:bottom w:val="single" w:sz="4" w:space="0" w:color="auto"/>
              <w:right w:val="single" w:sz="4" w:space="0" w:color="auto"/>
            </w:tcBorders>
          </w:tcPr>
          <w:p>
            <w:pPr>
              <w:suppressAutoHyphens/>
              <w:jc w:val="center"/>
              <w:rPr>
                <w:sz w:val="20"/>
                <w:lang w:eastAsia="lt-LT"/>
              </w:rPr>
            </w:pPr>
            <w:r>
              <w:rPr>
                <w:sz w:val="20"/>
                <w:lang w:eastAsia="lt-LT"/>
              </w:rPr>
              <w:t>11.2.4.2.1.</w:t>
            </w:r>
          </w:p>
        </w:tc>
        <w:tc>
          <w:tcPr>
            <w:tcW w:w="3118" w:type="dxa"/>
            <w:tcBorders>
              <w:top w:val="single" w:sz="4" w:space="0" w:color="auto"/>
              <w:left w:val="single" w:sz="4" w:space="0" w:color="auto"/>
              <w:bottom w:val="single" w:sz="4" w:space="0" w:color="auto"/>
              <w:right w:val="single" w:sz="4" w:space="0" w:color="auto"/>
            </w:tcBorders>
          </w:tcPr>
          <w:p>
            <w:pPr>
              <w:suppressAutoHyphens/>
              <w:rPr>
                <w:rFonts w:eastAsia="Calibri"/>
                <w:sz w:val="20"/>
              </w:rPr>
            </w:pPr>
            <w:r>
              <w:rPr>
                <w:rFonts w:eastAsia="Calibri"/>
                <w:sz w:val="20"/>
              </w:rPr>
              <w:t xml:space="preserve">valstybės paramos dydis, kai įgyvendinant atnaujinimo projektą daugiabučiame name, įrengiamas atskiras </w:t>
            </w:r>
            <w:r>
              <w:rPr>
                <w:rFonts w:eastAsia="Calibri"/>
                <w:iCs/>
                <w:sz w:val="20"/>
              </w:rPr>
              <w:t>ar modernizuojamas esamas neautomatizuotas šilumos punktas</w:t>
            </w:r>
            <w:r>
              <w:rPr>
                <w:rFonts w:eastAsia="Calibri"/>
                <w:sz w:val="20"/>
              </w:rPr>
              <w:t>, įrengiami balansiniai ventiliai ant stovų</w:t>
            </w:r>
          </w:p>
        </w:tc>
        <w:tc>
          <w:tcPr>
            <w:tcW w:w="1701" w:type="dxa"/>
            <w:tcBorders>
              <w:top w:val="single" w:sz="4" w:space="0" w:color="auto"/>
              <w:left w:val="single" w:sz="4" w:space="0" w:color="auto"/>
              <w:bottom w:val="single" w:sz="4" w:space="0" w:color="auto"/>
              <w:right w:val="single" w:sz="4" w:space="0" w:color="auto"/>
            </w:tcBorders>
          </w:tcPr>
          <w:p>
            <w:pPr>
              <w:suppressLineNumbers/>
              <w:suppressAutoHyphens/>
              <w:snapToGrid w:val="0"/>
              <w:rPr>
                <w:sz w:val="20"/>
                <w:lang w:eastAsia="ar-SA"/>
              </w:rPr>
            </w:pPr>
          </w:p>
        </w:tc>
        <w:tc>
          <w:tcPr>
            <w:tcW w:w="1899" w:type="dxa"/>
            <w:tcBorders>
              <w:top w:val="single" w:sz="4" w:space="0" w:color="auto"/>
              <w:left w:val="single" w:sz="4" w:space="0" w:color="auto"/>
              <w:bottom w:val="single" w:sz="4" w:space="0" w:color="auto"/>
              <w:right w:val="single" w:sz="4" w:space="0" w:color="auto"/>
            </w:tcBorders>
          </w:tcPr>
          <w:p>
            <w:pPr>
              <w:suppressLineNumbers/>
              <w:suppressAutoHyphens/>
              <w:snapToGrid w:val="0"/>
              <w:rPr>
                <w:sz w:val="20"/>
                <w:lang w:eastAsia="ar-SA"/>
              </w:rPr>
            </w:pPr>
          </w:p>
        </w:tc>
        <w:tc>
          <w:tcPr>
            <w:tcW w:w="1919" w:type="dxa"/>
            <w:tcBorders>
              <w:top w:val="single" w:sz="4" w:space="0" w:color="auto"/>
              <w:left w:val="single" w:sz="4" w:space="0" w:color="auto"/>
              <w:bottom w:val="single" w:sz="4" w:space="0" w:color="auto"/>
              <w:right w:val="single" w:sz="4" w:space="0" w:color="auto"/>
            </w:tcBorders>
          </w:tcPr>
          <w:p>
            <w:pPr>
              <w:suppressLineNumbers/>
              <w:suppressAutoHyphens/>
              <w:snapToGrid w:val="0"/>
              <w:rPr>
                <w:b/>
                <w:sz w:val="20"/>
                <w:lang w:eastAsia="ar-SA"/>
              </w:rPr>
            </w:pPr>
          </w:p>
        </w:tc>
      </w:tr>
      <w:tr>
        <w:tc>
          <w:tcPr>
            <w:tcW w:w="993" w:type="dxa"/>
            <w:tcBorders>
              <w:top w:val="single" w:sz="4" w:space="0" w:color="auto"/>
              <w:left w:val="single" w:sz="4" w:space="0" w:color="auto"/>
              <w:bottom w:val="single" w:sz="4" w:space="0" w:color="auto"/>
              <w:right w:val="single" w:sz="4" w:space="0" w:color="auto"/>
            </w:tcBorders>
          </w:tcPr>
          <w:p>
            <w:pPr>
              <w:suppressAutoHyphens/>
              <w:jc w:val="center"/>
              <w:rPr>
                <w:sz w:val="20"/>
                <w:lang w:eastAsia="lt-LT"/>
              </w:rPr>
            </w:pPr>
            <w:r>
              <w:rPr>
                <w:sz w:val="20"/>
                <w:lang w:eastAsia="lt-LT"/>
              </w:rPr>
              <w:t>11.2.4.2.2.</w:t>
            </w:r>
          </w:p>
        </w:tc>
        <w:tc>
          <w:tcPr>
            <w:tcW w:w="3118" w:type="dxa"/>
            <w:tcBorders>
              <w:top w:val="single" w:sz="4" w:space="0" w:color="auto"/>
              <w:left w:val="single" w:sz="4" w:space="0" w:color="auto"/>
              <w:bottom w:val="single" w:sz="4" w:space="0" w:color="auto"/>
              <w:right w:val="single" w:sz="4" w:space="0" w:color="auto"/>
            </w:tcBorders>
          </w:tcPr>
          <w:p>
            <w:pPr>
              <w:suppressAutoHyphens/>
              <w:rPr>
                <w:rFonts w:eastAsia="Calibri"/>
                <w:sz w:val="20"/>
              </w:rPr>
            </w:pPr>
            <w:r>
              <w:rPr>
                <w:rFonts w:eastAsia="Calibri"/>
                <w:sz w:val="20"/>
              </w:rPr>
              <w:t>valstybės paramos dydis, kai pertvarkoma ar keičiama šildymo sistema, butuose ir kitose patalpose įrengiant individualios šilumos apskaitos prietaisus ar daliklių sistemą ir (ar) termostatinius ventilius</w:t>
            </w:r>
          </w:p>
        </w:tc>
        <w:tc>
          <w:tcPr>
            <w:tcW w:w="1701" w:type="dxa"/>
            <w:tcBorders>
              <w:top w:val="single" w:sz="4" w:space="0" w:color="auto"/>
              <w:left w:val="single" w:sz="4" w:space="0" w:color="auto"/>
              <w:bottom w:val="single" w:sz="4" w:space="0" w:color="auto"/>
              <w:right w:val="single" w:sz="4" w:space="0" w:color="auto"/>
            </w:tcBorders>
          </w:tcPr>
          <w:p>
            <w:pPr>
              <w:suppressLineNumbers/>
              <w:suppressAutoHyphens/>
              <w:snapToGrid w:val="0"/>
              <w:rPr>
                <w:sz w:val="20"/>
                <w:lang w:eastAsia="ar-SA"/>
              </w:rPr>
            </w:pPr>
          </w:p>
        </w:tc>
        <w:tc>
          <w:tcPr>
            <w:tcW w:w="1899" w:type="dxa"/>
            <w:tcBorders>
              <w:top w:val="single" w:sz="4" w:space="0" w:color="auto"/>
              <w:left w:val="single" w:sz="4" w:space="0" w:color="auto"/>
              <w:bottom w:val="single" w:sz="4" w:space="0" w:color="auto"/>
              <w:right w:val="single" w:sz="4" w:space="0" w:color="auto"/>
            </w:tcBorders>
          </w:tcPr>
          <w:p>
            <w:pPr>
              <w:suppressLineNumbers/>
              <w:suppressAutoHyphens/>
              <w:snapToGrid w:val="0"/>
              <w:rPr>
                <w:sz w:val="20"/>
                <w:lang w:eastAsia="ar-SA"/>
              </w:rPr>
            </w:pPr>
          </w:p>
        </w:tc>
        <w:tc>
          <w:tcPr>
            <w:tcW w:w="1919" w:type="dxa"/>
            <w:tcBorders>
              <w:top w:val="single" w:sz="4" w:space="0" w:color="auto"/>
              <w:left w:val="single" w:sz="4" w:space="0" w:color="auto"/>
              <w:bottom w:val="single" w:sz="4" w:space="0" w:color="auto"/>
              <w:right w:val="single" w:sz="4" w:space="0" w:color="auto"/>
            </w:tcBorders>
          </w:tcPr>
          <w:p>
            <w:pPr>
              <w:suppressLineNumbers/>
              <w:suppressAutoHyphens/>
              <w:snapToGrid w:val="0"/>
              <w:rPr>
                <w:b/>
                <w:sz w:val="20"/>
                <w:lang w:eastAsia="ar-SA"/>
              </w:rPr>
            </w:pPr>
          </w:p>
        </w:tc>
      </w:tr>
    </w:tbl>
    <w:p>
      <w:pPr/>
    </w:p>
    <w:p>
      <w:pPr>
        <w:pStyle w:val="PlainText"/>
        <w:rPr>
          <w:rFonts w:ascii="Times New Roman" w:eastAsia="MS Mincho" w:hAnsi="Times New Roman"/>
          <w:sz w:val="20"/>
          <w:i/>
          <w:iCs/>
        </w:rPr>
      </w:pPr>
      <w:r>
        <w:rPr>
          <w:rFonts w:ascii="Times New Roman" w:eastAsia="MS Mincho" w:hAnsi="Times New Roman"/>
          <w:sz w:val="20"/>
          <w:i/>
          <w:iCs/>
        </w:rPr>
        <w:t>Lentelės pakeitimai:</w:t>
      </w:r>
    </w:p>
    <w:p>
      <w:pPr>
        <w:pStyle w:val="PlainText"/>
        <w:jc w:val="both"/>
        <w:rPr>
          <w:rFonts w:ascii="Times New Roman" w:eastAsia="MS Mincho" w:hAnsi="Times New Roman"/>
          <w:sz w:val="20"/>
          <w:i/>
          <w:iCs/>
        </w:rPr>
      </w:pPr>
      <w:r>
        <w:rPr>
          <w:rFonts w:ascii="Times New Roman" w:eastAsia="MS Mincho" w:hAnsi="Times New Roman"/>
          <w:sz w:val="20"/>
          <w:i/>
          <w:iCs/>
        </w:rPr>
        <w:t xml:space="preserve">Nr. </w:t>
      </w:r>
      <w:fldSimple w:instr="HYPERLINK https://www.e-tar.lt/portal/legalAct.html?documentId=3ccee0e0a81511e78a4c904b1afa0332">
        <w:r w:rsidRPr="00532B9F">
          <w:rPr>
            <w:rFonts w:ascii="Times New Roman" w:eastAsia="MS Mincho" w:hAnsi="Times New Roman"/>
            <w:sz w:val="20"/>
            <w:i/>
            <w:iCs/>
            <w:color w:val="0000FF" w:themeColor="hyperlink"/>
            <w:u w:val="single"/>
          </w:rPr>
          <w:t>D1-805</w:t>
        </w:r>
      </w:fldSimple>
      <w:r>
        <w:rPr>
          <w:rFonts w:ascii="Times New Roman" w:eastAsia="MS Mincho" w:hAnsi="Times New Roman"/>
          <w:sz w:val="20"/>
          <w:i/>
          <w:iCs/>
        </w:rPr>
        <w:t>,
2017-10-02,
paskelbta TAR 2017-10-03, i. k. 2017-15563            </w:t>
      </w:r>
    </w:p>
    <w:p>
      <w:pPr>
        <w:pStyle w:val="PlainText"/>
        <w:jc w:val="both"/>
        <w:rPr>
          <w:rFonts w:ascii="Times New Roman" w:eastAsia="MS Mincho" w:hAnsi="Times New Roman"/>
          <w:sz w:val="20"/>
          <w:i/>
          <w:iCs/>
        </w:rPr>
      </w:pPr>
      <w:r>
        <w:rPr>
          <w:rFonts w:ascii="Times New Roman" w:eastAsia="MS Mincho" w:hAnsi="Times New Roman"/>
          <w:sz w:val="20"/>
          <w:i/>
          <w:iCs/>
        </w:rPr>
        <w:t xml:space="preserve">Nr. </w:t>
      </w:r>
      <w:fldSimple w:instr="HYPERLINK https://www.e-tar.lt/portal/legalAct.html?documentId=c3dc8760fa1f11e8a969c20aa4d38bd4">
        <w:r w:rsidRPr="00532B9F">
          <w:rPr>
            <w:rFonts w:ascii="Times New Roman" w:eastAsia="MS Mincho" w:hAnsi="Times New Roman"/>
            <w:sz w:val="20"/>
            <w:i/>
            <w:iCs/>
            <w:color w:val="0000FF" w:themeColor="hyperlink"/>
            <w:u w:val="single"/>
          </w:rPr>
          <w:t>D1-1073</w:t>
        </w:r>
      </w:fldSimple>
      <w:r>
        <w:rPr>
          <w:rFonts w:ascii="Times New Roman" w:eastAsia="MS Mincho" w:hAnsi="Times New Roman"/>
          <w:sz w:val="20"/>
          <w:i/>
          <w:iCs/>
        </w:rPr>
        <w:t>,
2018-12-07,
paskelbta TAR 2018-12-07, i. k. 2018-20118            </w:t>
      </w:r>
    </w:p>
    <w:p>
      <w:pPr>
        <w:pStyle w:val="PlainText"/>
        <w:jc w:val="both"/>
        <w:rPr>
          <w:rFonts w:ascii="Times New Roman" w:eastAsia="MS Mincho" w:hAnsi="Times New Roman"/>
          <w:sz w:val="20"/>
          <w:i/>
          <w:iCs/>
        </w:rPr>
      </w:pPr>
      <w:r>
        <w:rPr>
          <w:rFonts w:ascii="Times New Roman" w:eastAsia="MS Mincho" w:hAnsi="Times New Roman"/>
          <w:sz w:val="20"/>
          <w:i/>
          <w:iCs/>
        </w:rPr>
        <w:t xml:space="preserve">Nr. </w:t>
      </w:r>
      <w:fldSimple w:instr="HYPERLINK https://www.e-tar.lt/portal/legalAct.html?documentId=edc5df10be8011e9840ec0427c781bac">
        <w:r w:rsidRPr="00532B9F">
          <w:rPr>
            <w:rFonts w:ascii="Times New Roman" w:eastAsia="MS Mincho" w:hAnsi="Times New Roman"/>
            <w:sz w:val="20"/>
            <w:i/>
            <w:iCs/>
            <w:color w:val="0000FF" w:themeColor="hyperlink"/>
            <w:u w:val="single"/>
          </w:rPr>
          <w:t>D1-488</w:t>
        </w:r>
      </w:fldSimple>
      <w:r>
        <w:rPr>
          <w:rFonts w:ascii="Times New Roman" w:eastAsia="MS Mincho" w:hAnsi="Times New Roman"/>
          <w:sz w:val="20"/>
          <w:i/>
          <w:iCs/>
        </w:rPr>
        <w:t>,
2019-08-14,
paskelbta TAR 2019-08-14, i. k. 2019-13160            </w:t>
      </w:r>
    </w:p>
    <w:p/>
    <w:p>
      <w:pPr>
        <w:shd w:val="clear" w:color="000000" w:fill="auto"/>
        <w:tabs>
          <w:tab w:val="left" w:pos="900"/>
        </w:tabs>
        <w:ind w:firstLine="567"/>
        <w:jc w:val="both"/>
        <w:rPr>
          <w:rFonts w:cs="Calibri"/>
          <w:sz w:val="20"/>
          <w:lang w:eastAsia="ar-SA"/>
        </w:rPr>
      </w:pPr>
      <w:r>
        <w:rPr>
          <w:sz w:val="20"/>
        </w:rPr>
        <w:t>Pastaba</w:t>
      </w:r>
      <w:r>
        <w:rPr>
          <w:b/>
          <w:sz w:val="20"/>
        </w:rPr>
        <w:t>:</w:t>
      </w:r>
      <w:r>
        <w:rPr>
          <w:sz w:val="20"/>
        </w:rPr>
        <w:t xml:space="preserve"> į valstybės paramą neįskaitoma parama nepasiturintiems gyventojams, kuri teikiama pagal Piniginės socialinės paramos nepasiturintiems gyventojams įstatymą</w:t>
      </w:r>
      <w:r>
        <w:rPr>
          <w:b/>
          <w:sz w:val="20"/>
        </w:rPr>
        <w:t xml:space="preserve">, </w:t>
      </w:r>
      <w:r>
        <w:rPr>
          <w:sz w:val="20"/>
        </w:rPr>
        <w:t>apmokant kreditą ir palūkanas, susijusias su namo atnaujinimo (modernizavimo) projekto įgyvendinimu.</w:t>
      </w:r>
    </w:p>
    <w:p>
      <w:pPr>
        <w:shd w:val="clear" w:color="000000" w:fill="auto"/>
        <w:rPr>
          <w:sz w:val="20"/>
        </w:rPr>
      </w:pPr>
    </w:p>
    <w:p>
      <w:pPr>
        <w:pStyle w:val="PlainText"/>
        <w:rPr>
          <w:rFonts w:ascii="Times New Roman" w:eastAsia="MS Mincho" w:hAnsi="Times New Roman"/>
          <w:sz w:val="20"/>
          <w:i/>
          <w:iCs/>
        </w:rPr>
      </w:pPr>
      <w:r>
        <w:rPr>
          <w:rFonts w:ascii="Times New Roman" w:eastAsia="MS Mincho" w:hAnsi="Times New Roman"/>
          <w:sz w:val="20"/>
          <w:i/>
          <w:iCs/>
        </w:rPr>
        <w:t>Punkto pakeitimai:</w:t>
      </w:r>
    </w:p>
    <w:p>
      <w:pPr>
        <w:pStyle w:val="PlainText"/>
        <w:jc w:val="both"/>
        <w:rPr>
          <w:rFonts w:ascii="Times New Roman" w:eastAsia="MS Mincho" w:hAnsi="Times New Roman"/>
          <w:sz w:val="20"/>
          <w:i/>
          <w:iCs/>
        </w:rPr>
      </w:pPr>
      <w:r>
        <w:rPr>
          <w:rFonts w:ascii="Times New Roman" w:eastAsia="MS Mincho" w:hAnsi="Times New Roman"/>
          <w:sz w:val="20"/>
          <w:i/>
          <w:iCs/>
        </w:rPr>
        <w:t xml:space="preserve">Nr. </w:t>
      </w:r>
      <w:fldSimple w:instr="HYPERLINK https://www.e-tar.lt/portal/legalAct.html?documentId=481058507e6b11e6b969d7ae07280e89">
        <w:r w:rsidRPr="00532B9F">
          <w:rPr>
            <w:rFonts w:ascii="Times New Roman" w:eastAsia="MS Mincho" w:hAnsi="Times New Roman"/>
            <w:sz w:val="20"/>
            <w:i/>
            <w:iCs/>
            <w:color w:val="0000FF" w:themeColor="hyperlink"/>
            <w:u w:val="single"/>
          </w:rPr>
          <w:t>D1-620</w:t>
        </w:r>
      </w:fldSimple>
      <w:r>
        <w:rPr>
          <w:rFonts w:ascii="Times New Roman" w:eastAsia="MS Mincho" w:hAnsi="Times New Roman"/>
          <w:sz w:val="20"/>
          <w:i/>
          <w:iCs/>
        </w:rPr>
        <w:t>,
2016-09-19,
paskelbta TAR 2016-09-19, i. k. 2016-23697            </w:t>
      </w:r>
    </w:p>
    <w:p/>
    <w:p>
      <w:pPr>
        <w:shd w:val="clear" w:color="000000" w:fill="auto"/>
        <w:ind w:firstLine="709"/>
        <w:jc w:val="both"/>
        <w:rPr>
          <w:b/>
          <w:szCs w:val="24"/>
        </w:rPr>
      </w:pPr>
      <w:r>
        <w:rPr>
          <w:b/>
        </w:rPr>
        <w:t>12</w:t>
      </w:r>
      <w:r>
        <w:rPr>
          <w:b/>
        </w:rPr>
        <w:t>. P</w:t>
      </w:r>
      <w:r>
        <w:rPr>
          <w:b/>
          <w:bCs/>
        </w:rPr>
        <w:t xml:space="preserve">reliminarus investicijų paskirstymas namo butų ir kitų patalpų savininkams </w:t>
      </w:r>
    </w:p>
    <w:p>
      <w:pPr>
        <w:shd w:val="clear" w:color="000000" w:fill="auto"/>
        <w:tabs>
          <w:tab w:val="left" w:pos="11505"/>
        </w:tabs>
        <w:suppressAutoHyphens/>
        <w:ind w:left="142" w:firstLine="7938"/>
        <w:rPr>
          <w:szCs w:val="24"/>
          <w:lang w:eastAsia="lt-LT"/>
        </w:rPr>
      </w:pPr>
      <w:r>
        <w:rPr>
          <w:szCs w:val="24"/>
          <w:lang w:eastAsia="lt-LT"/>
        </w:rPr>
        <w:t>11</w:t>
      </w:r>
      <w:r>
        <w:rPr>
          <w:szCs w:val="24"/>
          <w:lang w:eastAsia="lt-LT"/>
        </w:rPr>
        <w:t xml:space="preserve"> lentelė</w:t>
      </w:r>
    </w:p>
    <w:tbl>
      <w:tblPr>
        <w:tblW w:w="101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34"/>
        <w:gridCol w:w="959"/>
        <w:gridCol w:w="992"/>
        <w:gridCol w:w="1276"/>
        <w:gridCol w:w="790"/>
        <w:gridCol w:w="625"/>
        <w:gridCol w:w="1221"/>
        <w:gridCol w:w="1034"/>
        <w:gridCol w:w="1176"/>
        <w:gridCol w:w="918"/>
      </w:tblGrid>
      <w:tr>
        <w:tc>
          <w:tcPr>
            <w:tcW w:w="1134" w:type="dxa"/>
            <w:vMerge w:val="restart"/>
            <w:shd w:val="clear" w:color="auto" w:fill="auto"/>
          </w:tcPr>
          <w:p>
            <w:pPr>
              <w:shd w:val="clear" w:color="000000" w:fill="auto"/>
              <w:suppressAutoHyphens/>
              <w:ind w:right="-75"/>
              <w:jc w:val="center"/>
              <w:rPr>
                <w:sz w:val="16"/>
                <w:szCs w:val="16"/>
                <w:lang w:eastAsia="lt-LT"/>
              </w:rPr>
            </w:pPr>
            <w:r>
              <w:rPr>
                <w:sz w:val="16"/>
                <w:szCs w:val="16"/>
                <w:lang w:eastAsia="lt-LT"/>
              </w:rPr>
              <w:t>Butų ir kitų patalpų numeris ar kitas identifikavimo požymis</w:t>
            </w:r>
          </w:p>
        </w:tc>
        <w:tc>
          <w:tcPr>
            <w:tcW w:w="959" w:type="dxa"/>
            <w:vMerge w:val="restart"/>
            <w:shd w:val="clear" w:color="auto" w:fill="auto"/>
          </w:tcPr>
          <w:p>
            <w:pPr>
              <w:shd w:val="clear" w:color="000000" w:fill="auto"/>
              <w:suppressAutoHyphens/>
              <w:ind w:right="-81"/>
              <w:jc w:val="center"/>
              <w:rPr>
                <w:sz w:val="16"/>
                <w:szCs w:val="16"/>
                <w:lang w:eastAsia="lt-LT"/>
              </w:rPr>
            </w:pPr>
            <w:r>
              <w:rPr>
                <w:sz w:val="16"/>
                <w:szCs w:val="16"/>
                <w:lang w:eastAsia="lt-LT"/>
              </w:rPr>
              <w:t>Patalpų naudingas (bendrasis) plotas, m</w:t>
            </w:r>
            <w:r>
              <w:rPr>
                <w:sz w:val="16"/>
                <w:szCs w:val="16"/>
                <w:vertAlign w:val="superscript"/>
                <w:lang w:eastAsia="lt-LT"/>
              </w:rPr>
              <w:t>2</w:t>
            </w:r>
          </w:p>
        </w:tc>
        <w:tc>
          <w:tcPr>
            <w:tcW w:w="3683" w:type="dxa"/>
            <w:gridSpan w:val="4"/>
            <w:shd w:val="clear" w:color="auto" w:fill="auto"/>
          </w:tcPr>
          <w:p>
            <w:pPr>
              <w:shd w:val="clear" w:color="000000" w:fill="auto"/>
              <w:suppressAutoHyphens/>
              <w:ind w:left="142"/>
              <w:jc w:val="center"/>
              <w:rPr>
                <w:sz w:val="16"/>
                <w:szCs w:val="16"/>
                <w:lang w:eastAsia="lt-LT"/>
              </w:rPr>
            </w:pPr>
            <w:r>
              <w:rPr>
                <w:sz w:val="16"/>
                <w:szCs w:val="16"/>
                <w:lang w:eastAsia="lt-LT"/>
              </w:rPr>
              <w:t>Investicijų suma, Eur</w:t>
            </w:r>
          </w:p>
        </w:tc>
        <w:tc>
          <w:tcPr>
            <w:tcW w:w="1221" w:type="dxa"/>
            <w:vMerge w:val="restart"/>
            <w:shd w:val="clear" w:color="auto" w:fill="auto"/>
          </w:tcPr>
          <w:p>
            <w:pPr>
              <w:shd w:val="clear" w:color="000000" w:fill="auto"/>
              <w:suppressAutoHyphens/>
              <w:ind w:left="142"/>
              <w:jc w:val="center"/>
              <w:rPr>
                <w:sz w:val="16"/>
                <w:szCs w:val="16"/>
                <w:lang w:eastAsia="lt-LT"/>
              </w:rPr>
            </w:pPr>
            <w:r>
              <w:rPr>
                <w:sz w:val="16"/>
                <w:szCs w:val="16"/>
                <w:lang w:eastAsia="lt-LT"/>
              </w:rPr>
              <w:t>Valstybės parama energinį efektyvumą didinančioms priemonėms,</w:t>
            </w:r>
          </w:p>
          <w:p>
            <w:pPr>
              <w:shd w:val="clear" w:color="000000" w:fill="auto"/>
              <w:suppressAutoHyphens/>
              <w:ind w:left="142"/>
              <w:jc w:val="center"/>
              <w:rPr>
                <w:sz w:val="16"/>
                <w:szCs w:val="16"/>
                <w:lang w:eastAsia="lt-LT"/>
              </w:rPr>
            </w:pPr>
            <w:r>
              <w:rPr>
                <w:sz w:val="16"/>
                <w:szCs w:val="16"/>
                <w:lang w:eastAsia="lt-LT"/>
              </w:rPr>
              <w:t>Eur</w:t>
            </w:r>
          </w:p>
        </w:tc>
        <w:tc>
          <w:tcPr>
            <w:tcW w:w="1034" w:type="dxa"/>
            <w:vMerge w:val="restart"/>
            <w:shd w:val="clear" w:color="auto" w:fill="auto"/>
          </w:tcPr>
          <w:p>
            <w:pPr>
              <w:shd w:val="clear" w:color="000000" w:fill="auto"/>
              <w:suppressAutoHyphens/>
              <w:ind w:left="142"/>
              <w:jc w:val="center"/>
              <w:rPr>
                <w:sz w:val="16"/>
                <w:szCs w:val="16"/>
                <w:lang w:eastAsia="lt-LT"/>
              </w:rPr>
            </w:pPr>
            <w:r>
              <w:rPr>
                <w:sz w:val="16"/>
                <w:szCs w:val="16"/>
                <w:lang w:eastAsia="lt-LT"/>
              </w:rPr>
              <w:t>Investicijų suma, atėmus valstybės paramą, Eur</w:t>
            </w:r>
          </w:p>
        </w:tc>
        <w:tc>
          <w:tcPr>
            <w:tcW w:w="1176" w:type="dxa"/>
            <w:vMerge w:val="restart"/>
            <w:shd w:val="clear" w:color="auto" w:fill="auto"/>
          </w:tcPr>
          <w:p>
            <w:pPr>
              <w:shd w:val="clear" w:color="000000" w:fill="auto"/>
              <w:suppressAutoHyphens/>
              <w:ind w:left="142"/>
              <w:jc w:val="center"/>
              <w:rPr>
                <w:sz w:val="16"/>
                <w:szCs w:val="16"/>
                <w:lang w:eastAsia="lt-LT"/>
              </w:rPr>
            </w:pPr>
            <w:r>
              <w:rPr>
                <w:sz w:val="16"/>
                <w:szCs w:val="16"/>
                <w:lang w:eastAsia="lt-LT"/>
              </w:rPr>
              <w:t>Preliminarus mėnesinės įmokos dydis, Eur/m</w:t>
            </w:r>
            <w:r>
              <w:rPr>
                <w:sz w:val="16"/>
                <w:szCs w:val="16"/>
                <w:vertAlign w:val="superscript"/>
                <w:lang w:eastAsia="lt-LT"/>
              </w:rPr>
              <w:t>2</w:t>
            </w:r>
          </w:p>
        </w:tc>
        <w:tc>
          <w:tcPr>
            <w:tcW w:w="918" w:type="dxa"/>
            <w:vMerge w:val="restart"/>
            <w:shd w:val="clear" w:color="auto" w:fill="auto"/>
          </w:tcPr>
          <w:p>
            <w:pPr>
              <w:shd w:val="clear" w:color="000000" w:fill="auto"/>
              <w:suppressAutoHyphens/>
              <w:ind w:left="142"/>
              <w:jc w:val="center"/>
              <w:rPr>
                <w:sz w:val="16"/>
                <w:szCs w:val="16"/>
                <w:lang w:eastAsia="lt-LT"/>
              </w:rPr>
            </w:pPr>
            <w:r>
              <w:rPr>
                <w:sz w:val="16"/>
                <w:szCs w:val="16"/>
                <w:lang w:eastAsia="lt-LT"/>
              </w:rPr>
              <w:t>Pastabos</w:t>
            </w:r>
          </w:p>
        </w:tc>
      </w:tr>
      <w:tr>
        <w:tc>
          <w:tcPr>
            <w:tcW w:w="1134" w:type="dxa"/>
            <w:vMerge/>
            <w:shd w:val="clear" w:color="auto" w:fill="auto"/>
          </w:tcPr>
          <w:p>
            <w:pPr>
              <w:shd w:val="clear" w:color="000000" w:fill="auto"/>
              <w:suppressAutoHyphens/>
              <w:ind w:left="142"/>
              <w:rPr>
                <w:sz w:val="16"/>
                <w:szCs w:val="16"/>
                <w:lang w:eastAsia="lt-LT"/>
              </w:rPr>
            </w:pPr>
          </w:p>
        </w:tc>
        <w:tc>
          <w:tcPr>
            <w:tcW w:w="959" w:type="dxa"/>
            <w:vMerge/>
            <w:shd w:val="clear" w:color="auto" w:fill="auto"/>
          </w:tcPr>
          <w:p>
            <w:pPr>
              <w:shd w:val="clear" w:color="000000" w:fill="auto"/>
              <w:suppressAutoHyphens/>
              <w:ind w:left="142"/>
              <w:rPr>
                <w:sz w:val="16"/>
                <w:szCs w:val="16"/>
                <w:lang w:eastAsia="lt-LT"/>
              </w:rPr>
            </w:pPr>
          </w:p>
        </w:tc>
        <w:tc>
          <w:tcPr>
            <w:tcW w:w="2268" w:type="dxa"/>
            <w:gridSpan w:val="2"/>
            <w:shd w:val="clear" w:color="auto" w:fill="auto"/>
          </w:tcPr>
          <w:p>
            <w:pPr>
              <w:shd w:val="clear" w:color="000000" w:fill="auto"/>
              <w:suppressAutoHyphens/>
              <w:ind w:left="142"/>
              <w:jc w:val="center"/>
              <w:rPr>
                <w:sz w:val="16"/>
                <w:szCs w:val="16"/>
                <w:lang w:eastAsia="lt-LT"/>
              </w:rPr>
            </w:pPr>
            <w:r>
              <w:rPr>
                <w:sz w:val="16"/>
                <w:szCs w:val="16"/>
                <w:lang w:eastAsia="lt-LT"/>
              </w:rPr>
              <w:t>Energinį efektyvumą didinančioms priemonėms</w:t>
            </w:r>
          </w:p>
        </w:tc>
        <w:tc>
          <w:tcPr>
            <w:tcW w:w="790" w:type="dxa"/>
            <w:vMerge w:val="restart"/>
            <w:shd w:val="clear" w:color="auto" w:fill="auto"/>
          </w:tcPr>
          <w:p>
            <w:pPr>
              <w:shd w:val="clear" w:color="000000" w:fill="auto"/>
              <w:suppressAutoHyphens/>
              <w:ind w:left="-108"/>
              <w:jc w:val="center"/>
              <w:rPr>
                <w:sz w:val="16"/>
                <w:szCs w:val="16"/>
                <w:lang w:eastAsia="lt-LT"/>
              </w:rPr>
            </w:pPr>
            <w:r>
              <w:rPr>
                <w:sz w:val="16"/>
                <w:szCs w:val="16"/>
                <w:lang w:eastAsia="lt-LT"/>
              </w:rPr>
              <w:t>Kitos priemonės</w:t>
            </w:r>
          </w:p>
        </w:tc>
        <w:tc>
          <w:tcPr>
            <w:tcW w:w="625" w:type="dxa"/>
            <w:vMerge w:val="restart"/>
            <w:shd w:val="clear" w:color="auto" w:fill="auto"/>
          </w:tcPr>
          <w:p>
            <w:pPr>
              <w:shd w:val="clear" w:color="000000" w:fill="auto"/>
              <w:suppressAutoHyphens/>
              <w:ind w:left="142"/>
              <w:jc w:val="center"/>
              <w:rPr>
                <w:sz w:val="16"/>
                <w:szCs w:val="16"/>
                <w:lang w:eastAsia="lt-LT"/>
              </w:rPr>
            </w:pPr>
            <w:r>
              <w:rPr>
                <w:sz w:val="16"/>
                <w:szCs w:val="16"/>
                <w:lang w:eastAsia="lt-LT"/>
              </w:rPr>
              <w:t>Iš viso</w:t>
            </w:r>
          </w:p>
        </w:tc>
        <w:tc>
          <w:tcPr>
            <w:tcW w:w="1221" w:type="dxa"/>
            <w:vMerge/>
            <w:shd w:val="clear" w:color="auto" w:fill="auto"/>
          </w:tcPr>
          <w:p>
            <w:pPr>
              <w:shd w:val="clear" w:color="000000" w:fill="auto"/>
              <w:suppressAutoHyphens/>
              <w:ind w:left="142"/>
              <w:rPr>
                <w:sz w:val="16"/>
                <w:szCs w:val="16"/>
                <w:lang w:eastAsia="lt-LT"/>
              </w:rPr>
            </w:pPr>
          </w:p>
        </w:tc>
        <w:tc>
          <w:tcPr>
            <w:tcW w:w="1034" w:type="dxa"/>
            <w:vMerge/>
            <w:shd w:val="clear" w:color="auto" w:fill="auto"/>
          </w:tcPr>
          <w:p>
            <w:pPr>
              <w:shd w:val="clear" w:color="000000" w:fill="auto"/>
              <w:suppressAutoHyphens/>
              <w:ind w:left="142"/>
              <w:rPr>
                <w:sz w:val="16"/>
                <w:szCs w:val="16"/>
                <w:lang w:eastAsia="lt-LT"/>
              </w:rPr>
            </w:pPr>
          </w:p>
        </w:tc>
        <w:tc>
          <w:tcPr>
            <w:tcW w:w="1176" w:type="dxa"/>
            <w:vMerge/>
            <w:shd w:val="clear" w:color="auto" w:fill="auto"/>
          </w:tcPr>
          <w:p>
            <w:pPr>
              <w:shd w:val="clear" w:color="000000" w:fill="auto"/>
              <w:suppressAutoHyphens/>
              <w:ind w:left="142"/>
              <w:rPr>
                <w:sz w:val="16"/>
                <w:szCs w:val="16"/>
                <w:lang w:eastAsia="lt-LT"/>
              </w:rPr>
            </w:pPr>
          </w:p>
        </w:tc>
        <w:tc>
          <w:tcPr>
            <w:tcW w:w="918" w:type="dxa"/>
            <w:vMerge/>
            <w:shd w:val="clear" w:color="auto" w:fill="auto"/>
          </w:tcPr>
          <w:p>
            <w:pPr>
              <w:shd w:val="clear" w:color="000000" w:fill="auto"/>
              <w:suppressAutoHyphens/>
              <w:ind w:left="142"/>
              <w:rPr>
                <w:sz w:val="16"/>
                <w:szCs w:val="16"/>
                <w:lang w:eastAsia="lt-LT"/>
              </w:rPr>
            </w:pPr>
          </w:p>
        </w:tc>
      </w:tr>
      <w:tr>
        <w:tc>
          <w:tcPr>
            <w:tcW w:w="1134" w:type="dxa"/>
            <w:vMerge/>
            <w:shd w:val="clear" w:color="auto" w:fill="auto"/>
          </w:tcPr>
          <w:p>
            <w:pPr>
              <w:shd w:val="clear" w:color="000000" w:fill="auto"/>
              <w:suppressAutoHyphens/>
              <w:ind w:left="142"/>
              <w:rPr>
                <w:sz w:val="16"/>
                <w:szCs w:val="16"/>
                <w:lang w:eastAsia="lt-LT"/>
              </w:rPr>
            </w:pPr>
          </w:p>
        </w:tc>
        <w:tc>
          <w:tcPr>
            <w:tcW w:w="959" w:type="dxa"/>
            <w:vMerge/>
            <w:shd w:val="clear" w:color="auto" w:fill="auto"/>
          </w:tcPr>
          <w:p>
            <w:pPr>
              <w:shd w:val="clear" w:color="000000" w:fill="auto"/>
              <w:suppressAutoHyphens/>
              <w:ind w:left="142"/>
              <w:rPr>
                <w:sz w:val="16"/>
                <w:szCs w:val="16"/>
                <w:lang w:eastAsia="lt-LT"/>
              </w:rPr>
            </w:pPr>
          </w:p>
        </w:tc>
        <w:tc>
          <w:tcPr>
            <w:tcW w:w="992" w:type="dxa"/>
            <w:shd w:val="clear" w:color="auto" w:fill="auto"/>
          </w:tcPr>
          <w:p>
            <w:pPr>
              <w:shd w:val="clear" w:color="000000" w:fill="auto"/>
              <w:suppressAutoHyphens/>
              <w:ind w:left="-108"/>
              <w:jc w:val="center"/>
              <w:rPr>
                <w:sz w:val="16"/>
                <w:szCs w:val="16"/>
                <w:lang w:eastAsia="lt-LT"/>
              </w:rPr>
            </w:pPr>
            <w:r>
              <w:rPr>
                <w:sz w:val="16"/>
                <w:szCs w:val="16"/>
                <w:lang w:eastAsia="lt-LT"/>
              </w:rPr>
              <w:t>Bendrosios investicijos</w:t>
            </w:r>
          </w:p>
          <w:p>
            <w:pPr>
              <w:shd w:val="clear" w:color="000000" w:fill="auto"/>
              <w:suppressAutoHyphens/>
              <w:ind w:left="142"/>
              <w:rPr>
                <w:sz w:val="16"/>
                <w:szCs w:val="16"/>
                <w:lang w:eastAsia="lt-LT"/>
              </w:rPr>
            </w:pPr>
          </w:p>
        </w:tc>
        <w:tc>
          <w:tcPr>
            <w:tcW w:w="1276" w:type="dxa"/>
            <w:shd w:val="clear" w:color="auto" w:fill="auto"/>
          </w:tcPr>
          <w:p>
            <w:pPr>
              <w:shd w:val="clear" w:color="000000" w:fill="auto"/>
              <w:suppressAutoHyphens/>
              <w:ind w:left="142"/>
              <w:rPr>
                <w:sz w:val="16"/>
                <w:szCs w:val="16"/>
                <w:lang w:eastAsia="lt-LT"/>
              </w:rPr>
            </w:pPr>
            <w:r>
              <w:rPr>
                <w:sz w:val="16"/>
                <w:szCs w:val="16"/>
                <w:lang w:eastAsia="lt-LT"/>
              </w:rPr>
              <w:t>Individualios</w:t>
            </w:r>
          </w:p>
          <w:p>
            <w:pPr>
              <w:shd w:val="clear" w:color="000000" w:fill="auto"/>
              <w:suppressAutoHyphens/>
              <w:ind w:left="142"/>
              <w:rPr>
                <w:sz w:val="16"/>
                <w:szCs w:val="16"/>
                <w:lang w:eastAsia="lt-LT"/>
              </w:rPr>
            </w:pPr>
            <w:r>
              <w:rPr>
                <w:sz w:val="16"/>
                <w:szCs w:val="16"/>
                <w:lang w:eastAsia="lt-LT"/>
              </w:rPr>
              <w:t>investicijos</w:t>
            </w:r>
          </w:p>
        </w:tc>
        <w:tc>
          <w:tcPr>
            <w:tcW w:w="790" w:type="dxa"/>
            <w:vMerge/>
            <w:shd w:val="clear" w:color="auto" w:fill="auto"/>
          </w:tcPr>
          <w:p>
            <w:pPr>
              <w:shd w:val="clear" w:color="000000" w:fill="auto"/>
              <w:suppressAutoHyphens/>
              <w:ind w:left="142"/>
              <w:rPr>
                <w:sz w:val="16"/>
                <w:szCs w:val="16"/>
                <w:lang w:eastAsia="lt-LT"/>
              </w:rPr>
            </w:pPr>
          </w:p>
        </w:tc>
        <w:tc>
          <w:tcPr>
            <w:tcW w:w="625" w:type="dxa"/>
            <w:vMerge/>
            <w:shd w:val="clear" w:color="auto" w:fill="auto"/>
          </w:tcPr>
          <w:p>
            <w:pPr>
              <w:shd w:val="clear" w:color="000000" w:fill="auto"/>
              <w:suppressAutoHyphens/>
              <w:ind w:left="142"/>
              <w:rPr>
                <w:sz w:val="16"/>
                <w:szCs w:val="16"/>
                <w:lang w:eastAsia="lt-LT"/>
              </w:rPr>
            </w:pPr>
          </w:p>
        </w:tc>
        <w:tc>
          <w:tcPr>
            <w:tcW w:w="1221" w:type="dxa"/>
            <w:vMerge/>
            <w:shd w:val="clear" w:color="auto" w:fill="auto"/>
          </w:tcPr>
          <w:p>
            <w:pPr>
              <w:shd w:val="clear" w:color="000000" w:fill="auto"/>
              <w:suppressAutoHyphens/>
              <w:ind w:left="142"/>
              <w:rPr>
                <w:sz w:val="16"/>
                <w:szCs w:val="16"/>
                <w:lang w:eastAsia="lt-LT"/>
              </w:rPr>
            </w:pPr>
          </w:p>
        </w:tc>
        <w:tc>
          <w:tcPr>
            <w:tcW w:w="1034" w:type="dxa"/>
            <w:vMerge/>
            <w:shd w:val="clear" w:color="auto" w:fill="auto"/>
          </w:tcPr>
          <w:p>
            <w:pPr>
              <w:shd w:val="clear" w:color="000000" w:fill="auto"/>
              <w:suppressAutoHyphens/>
              <w:ind w:left="142"/>
              <w:rPr>
                <w:sz w:val="16"/>
                <w:szCs w:val="16"/>
                <w:lang w:eastAsia="lt-LT"/>
              </w:rPr>
            </w:pPr>
          </w:p>
        </w:tc>
        <w:tc>
          <w:tcPr>
            <w:tcW w:w="1176" w:type="dxa"/>
            <w:vMerge/>
            <w:shd w:val="clear" w:color="auto" w:fill="auto"/>
          </w:tcPr>
          <w:p>
            <w:pPr>
              <w:shd w:val="clear" w:color="000000" w:fill="auto"/>
              <w:suppressAutoHyphens/>
              <w:ind w:left="142"/>
              <w:rPr>
                <w:sz w:val="16"/>
                <w:szCs w:val="16"/>
                <w:lang w:eastAsia="lt-LT"/>
              </w:rPr>
            </w:pPr>
          </w:p>
        </w:tc>
        <w:tc>
          <w:tcPr>
            <w:tcW w:w="918" w:type="dxa"/>
            <w:vMerge/>
            <w:shd w:val="clear" w:color="auto" w:fill="auto"/>
          </w:tcPr>
          <w:p>
            <w:pPr>
              <w:shd w:val="clear" w:color="000000" w:fill="auto"/>
              <w:suppressAutoHyphens/>
              <w:ind w:left="142"/>
              <w:rPr>
                <w:sz w:val="16"/>
                <w:szCs w:val="16"/>
                <w:lang w:eastAsia="lt-LT"/>
              </w:rPr>
            </w:pPr>
          </w:p>
        </w:tc>
      </w:tr>
      <w:tr>
        <w:tc>
          <w:tcPr>
            <w:tcW w:w="1134" w:type="dxa"/>
            <w:shd w:val="clear" w:color="auto" w:fill="auto"/>
          </w:tcPr>
          <w:p>
            <w:pPr>
              <w:shd w:val="clear" w:color="000000" w:fill="auto"/>
              <w:suppressAutoHyphens/>
              <w:ind w:left="142"/>
              <w:rPr>
                <w:sz w:val="16"/>
                <w:szCs w:val="16"/>
                <w:lang w:eastAsia="lt-LT"/>
              </w:rPr>
            </w:pPr>
            <w:r>
              <w:rPr>
                <w:sz w:val="16"/>
                <w:szCs w:val="16"/>
                <w:lang w:eastAsia="lt-LT"/>
              </w:rPr>
              <w:t>1</w:t>
            </w:r>
          </w:p>
        </w:tc>
        <w:tc>
          <w:tcPr>
            <w:tcW w:w="959" w:type="dxa"/>
            <w:shd w:val="clear" w:color="auto" w:fill="auto"/>
          </w:tcPr>
          <w:p>
            <w:pPr>
              <w:shd w:val="clear" w:color="000000" w:fill="auto"/>
              <w:suppressAutoHyphens/>
              <w:ind w:left="142"/>
              <w:rPr>
                <w:sz w:val="16"/>
                <w:szCs w:val="16"/>
                <w:lang w:eastAsia="lt-LT"/>
              </w:rPr>
            </w:pPr>
            <w:r>
              <w:rPr>
                <w:sz w:val="16"/>
                <w:szCs w:val="16"/>
                <w:lang w:eastAsia="lt-LT"/>
              </w:rPr>
              <w:t>2</w:t>
            </w:r>
          </w:p>
        </w:tc>
        <w:tc>
          <w:tcPr>
            <w:tcW w:w="992" w:type="dxa"/>
            <w:shd w:val="clear" w:color="auto" w:fill="auto"/>
          </w:tcPr>
          <w:p>
            <w:pPr>
              <w:shd w:val="clear" w:color="000000" w:fill="auto"/>
              <w:suppressAutoHyphens/>
              <w:ind w:left="142"/>
              <w:rPr>
                <w:sz w:val="16"/>
                <w:szCs w:val="16"/>
                <w:lang w:eastAsia="lt-LT"/>
              </w:rPr>
            </w:pPr>
            <w:r>
              <w:rPr>
                <w:sz w:val="16"/>
                <w:szCs w:val="16"/>
                <w:lang w:eastAsia="lt-LT"/>
              </w:rPr>
              <w:t>3</w:t>
            </w:r>
          </w:p>
        </w:tc>
        <w:tc>
          <w:tcPr>
            <w:tcW w:w="1276" w:type="dxa"/>
            <w:shd w:val="clear" w:color="auto" w:fill="auto"/>
          </w:tcPr>
          <w:p>
            <w:pPr>
              <w:shd w:val="clear" w:color="000000" w:fill="auto"/>
              <w:suppressAutoHyphens/>
              <w:ind w:left="142"/>
              <w:rPr>
                <w:sz w:val="16"/>
                <w:szCs w:val="16"/>
                <w:lang w:eastAsia="lt-LT"/>
              </w:rPr>
            </w:pPr>
            <w:r>
              <w:rPr>
                <w:sz w:val="16"/>
                <w:szCs w:val="16"/>
                <w:lang w:eastAsia="lt-LT"/>
              </w:rPr>
              <w:t>4</w:t>
            </w:r>
          </w:p>
        </w:tc>
        <w:tc>
          <w:tcPr>
            <w:tcW w:w="790" w:type="dxa"/>
            <w:shd w:val="clear" w:color="auto" w:fill="auto"/>
          </w:tcPr>
          <w:p>
            <w:pPr>
              <w:shd w:val="clear" w:color="000000" w:fill="auto"/>
              <w:suppressAutoHyphens/>
              <w:ind w:left="142"/>
              <w:rPr>
                <w:sz w:val="16"/>
                <w:szCs w:val="16"/>
                <w:lang w:eastAsia="lt-LT"/>
              </w:rPr>
            </w:pPr>
            <w:r>
              <w:rPr>
                <w:sz w:val="16"/>
                <w:szCs w:val="16"/>
                <w:lang w:eastAsia="lt-LT"/>
              </w:rPr>
              <w:t>5</w:t>
            </w:r>
          </w:p>
        </w:tc>
        <w:tc>
          <w:tcPr>
            <w:tcW w:w="625" w:type="dxa"/>
            <w:shd w:val="clear" w:color="auto" w:fill="auto"/>
          </w:tcPr>
          <w:p>
            <w:pPr>
              <w:shd w:val="clear" w:color="000000" w:fill="auto"/>
              <w:suppressAutoHyphens/>
              <w:ind w:left="142"/>
              <w:rPr>
                <w:sz w:val="16"/>
                <w:szCs w:val="16"/>
                <w:lang w:eastAsia="lt-LT"/>
              </w:rPr>
            </w:pPr>
            <w:r>
              <w:rPr>
                <w:sz w:val="16"/>
                <w:szCs w:val="16"/>
                <w:lang w:eastAsia="lt-LT"/>
              </w:rPr>
              <w:t>6</w:t>
            </w:r>
          </w:p>
        </w:tc>
        <w:tc>
          <w:tcPr>
            <w:tcW w:w="1221" w:type="dxa"/>
            <w:shd w:val="clear" w:color="auto" w:fill="auto"/>
          </w:tcPr>
          <w:p>
            <w:pPr>
              <w:shd w:val="clear" w:color="000000" w:fill="auto"/>
              <w:suppressAutoHyphens/>
              <w:ind w:left="142"/>
              <w:rPr>
                <w:sz w:val="16"/>
                <w:szCs w:val="16"/>
                <w:lang w:eastAsia="lt-LT"/>
              </w:rPr>
            </w:pPr>
            <w:r>
              <w:rPr>
                <w:sz w:val="16"/>
                <w:szCs w:val="16"/>
                <w:lang w:eastAsia="lt-LT"/>
              </w:rPr>
              <w:t>7</w:t>
            </w:r>
          </w:p>
        </w:tc>
        <w:tc>
          <w:tcPr>
            <w:tcW w:w="1034" w:type="dxa"/>
            <w:shd w:val="clear" w:color="auto" w:fill="auto"/>
          </w:tcPr>
          <w:p>
            <w:pPr>
              <w:shd w:val="clear" w:color="000000" w:fill="auto"/>
              <w:suppressAutoHyphens/>
              <w:ind w:left="142"/>
              <w:rPr>
                <w:sz w:val="16"/>
                <w:szCs w:val="16"/>
                <w:lang w:eastAsia="lt-LT"/>
              </w:rPr>
            </w:pPr>
            <w:r>
              <w:rPr>
                <w:sz w:val="16"/>
                <w:szCs w:val="16"/>
                <w:lang w:eastAsia="lt-LT"/>
              </w:rPr>
              <w:t>8</w:t>
            </w:r>
          </w:p>
        </w:tc>
        <w:tc>
          <w:tcPr>
            <w:tcW w:w="1176" w:type="dxa"/>
            <w:shd w:val="clear" w:color="auto" w:fill="auto"/>
          </w:tcPr>
          <w:p>
            <w:pPr>
              <w:shd w:val="clear" w:color="000000" w:fill="auto"/>
              <w:suppressAutoHyphens/>
              <w:ind w:left="142"/>
              <w:rPr>
                <w:sz w:val="16"/>
                <w:szCs w:val="16"/>
                <w:lang w:eastAsia="lt-LT"/>
              </w:rPr>
            </w:pPr>
            <w:r>
              <w:rPr>
                <w:sz w:val="16"/>
                <w:szCs w:val="16"/>
                <w:lang w:eastAsia="lt-LT"/>
              </w:rPr>
              <w:t>9</w:t>
            </w:r>
          </w:p>
        </w:tc>
        <w:tc>
          <w:tcPr>
            <w:tcW w:w="918" w:type="dxa"/>
            <w:shd w:val="clear" w:color="auto" w:fill="auto"/>
          </w:tcPr>
          <w:p>
            <w:pPr>
              <w:shd w:val="clear" w:color="000000" w:fill="auto"/>
              <w:suppressAutoHyphens/>
              <w:ind w:left="142"/>
              <w:rPr>
                <w:sz w:val="16"/>
                <w:szCs w:val="16"/>
                <w:lang w:eastAsia="lt-LT"/>
              </w:rPr>
            </w:pPr>
            <w:r>
              <w:rPr>
                <w:sz w:val="16"/>
                <w:szCs w:val="16"/>
                <w:lang w:eastAsia="lt-LT"/>
              </w:rPr>
              <w:t>10</w:t>
            </w:r>
          </w:p>
        </w:tc>
      </w:tr>
      <w:tr>
        <w:tc>
          <w:tcPr>
            <w:tcW w:w="1134" w:type="dxa"/>
            <w:shd w:val="clear" w:color="auto" w:fill="auto"/>
          </w:tcPr>
          <w:p>
            <w:pPr>
              <w:shd w:val="clear" w:color="000000" w:fill="auto"/>
              <w:suppressAutoHyphens/>
              <w:ind w:left="142"/>
              <w:rPr>
                <w:sz w:val="16"/>
                <w:szCs w:val="16"/>
                <w:lang w:eastAsia="lt-LT"/>
              </w:rPr>
            </w:pPr>
            <w:r>
              <w:rPr>
                <w:sz w:val="16"/>
                <w:szCs w:val="16"/>
                <w:lang w:eastAsia="lt-LT"/>
              </w:rPr>
              <w:t>Butas Nr. 1</w:t>
            </w:r>
          </w:p>
          <w:p>
            <w:pPr>
              <w:shd w:val="clear" w:color="000000" w:fill="auto"/>
              <w:suppressAutoHyphens/>
              <w:ind w:left="142"/>
              <w:rPr>
                <w:sz w:val="16"/>
                <w:szCs w:val="16"/>
                <w:lang w:eastAsia="lt-LT"/>
              </w:rPr>
            </w:pPr>
            <w:r>
              <w:rPr>
                <w:sz w:val="16"/>
                <w:szCs w:val="16"/>
                <w:lang w:eastAsia="lt-LT"/>
              </w:rPr>
              <w:t>Butas Nr. 2</w:t>
            </w:r>
          </w:p>
          <w:p>
            <w:pPr>
              <w:shd w:val="clear" w:color="000000" w:fill="auto"/>
              <w:suppressAutoHyphens/>
              <w:ind w:left="142"/>
              <w:rPr>
                <w:sz w:val="16"/>
                <w:szCs w:val="16"/>
                <w:lang w:eastAsia="lt-LT"/>
              </w:rPr>
            </w:pPr>
            <w:r>
              <w:rPr>
                <w:sz w:val="16"/>
                <w:szCs w:val="16"/>
                <w:lang w:eastAsia="lt-LT"/>
              </w:rPr>
              <w:t>ir t. t.</w:t>
            </w:r>
          </w:p>
        </w:tc>
        <w:tc>
          <w:tcPr>
            <w:tcW w:w="959" w:type="dxa"/>
            <w:shd w:val="clear" w:color="auto" w:fill="auto"/>
          </w:tcPr>
          <w:p>
            <w:pPr>
              <w:shd w:val="clear" w:color="000000" w:fill="auto"/>
              <w:suppressAutoHyphens/>
              <w:ind w:left="142"/>
              <w:rPr>
                <w:sz w:val="16"/>
                <w:szCs w:val="16"/>
                <w:lang w:eastAsia="lt-LT"/>
              </w:rPr>
            </w:pPr>
          </w:p>
        </w:tc>
        <w:tc>
          <w:tcPr>
            <w:tcW w:w="992" w:type="dxa"/>
            <w:shd w:val="clear" w:color="auto" w:fill="auto"/>
          </w:tcPr>
          <w:p>
            <w:pPr>
              <w:shd w:val="clear" w:color="000000" w:fill="auto"/>
              <w:suppressAutoHyphens/>
              <w:ind w:left="142"/>
              <w:rPr>
                <w:sz w:val="16"/>
                <w:szCs w:val="16"/>
                <w:lang w:eastAsia="lt-LT"/>
              </w:rPr>
            </w:pPr>
          </w:p>
        </w:tc>
        <w:tc>
          <w:tcPr>
            <w:tcW w:w="1276" w:type="dxa"/>
            <w:shd w:val="clear" w:color="auto" w:fill="auto"/>
          </w:tcPr>
          <w:p>
            <w:pPr>
              <w:shd w:val="clear" w:color="000000" w:fill="auto"/>
              <w:suppressAutoHyphens/>
              <w:ind w:left="142"/>
              <w:rPr>
                <w:sz w:val="16"/>
                <w:szCs w:val="16"/>
                <w:lang w:eastAsia="lt-LT"/>
              </w:rPr>
            </w:pPr>
          </w:p>
        </w:tc>
        <w:tc>
          <w:tcPr>
            <w:tcW w:w="790" w:type="dxa"/>
            <w:shd w:val="clear" w:color="auto" w:fill="auto"/>
          </w:tcPr>
          <w:p>
            <w:pPr>
              <w:shd w:val="clear" w:color="000000" w:fill="auto"/>
              <w:suppressAutoHyphens/>
              <w:ind w:left="142"/>
              <w:rPr>
                <w:sz w:val="16"/>
                <w:szCs w:val="16"/>
                <w:lang w:eastAsia="lt-LT"/>
              </w:rPr>
            </w:pPr>
          </w:p>
        </w:tc>
        <w:tc>
          <w:tcPr>
            <w:tcW w:w="625" w:type="dxa"/>
            <w:shd w:val="clear" w:color="auto" w:fill="auto"/>
          </w:tcPr>
          <w:p>
            <w:pPr>
              <w:shd w:val="clear" w:color="000000" w:fill="auto"/>
              <w:suppressAutoHyphens/>
              <w:ind w:left="142"/>
              <w:rPr>
                <w:sz w:val="16"/>
                <w:szCs w:val="16"/>
                <w:lang w:eastAsia="lt-LT"/>
              </w:rPr>
            </w:pPr>
          </w:p>
        </w:tc>
        <w:tc>
          <w:tcPr>
            <w:tcW w:w="1221" w:type="dxa"/>
            <w:shd w:val="clear" w:color="auto" w:fill="auto"/>
          </w:tcPr>
          <w:p>
            <w:pPr>
              <w:shd w:val="clear" w:color="000000" w:fill="auto"/>
              <w:suppressAutoHyphens/>
              <w:ind w:left="142"/>
              <w:rPr>
                <w:sz w:val="16"/>
                <w:szCs w:val="16"/>
                <w:lang w:eastAsia="lt-LT"/>
              </w:rPr>
            </w:pPr>
          </w:p>
        </w:tc>
        <w:tc>
          <w:tcPr>
            <w:tcW w:w="1034" w:type="dxa"/>
            <w:shd w:val="clear" w:color="auto" w:fill="auto"/>
          </w:tcPr>
          <w:p>
            <w:pPr>
              <w:shd w:val="clear" w:color="000000" w:fill="auto"/>
              <w:suppressAutoHyphens/>
              <w:ind w:left="142"/>
              <w:rPr>
                <w:sz w:val="16"/>
                <w:szCs w:val="16"/>
                <w:lang w:eastAsia="lt-LT"/>
              </w:rPr>
            </w:pPr>
          </w:p>
        </w:tc>
        <w:tc>
          <w:tcPr>
            <w:tcW w:w="1176" w:type="dxa"/>
            <w:shd w:val="clear" w:color="auto" w:fill="auto"/>
          </w:tcPr>
          <w:p>
            <w:pPr>
              <w:shd w:val="clear" w:color="000000" w:fill="auto"/>
              <w:suppressAutoHyphens/>
              <w:ind w:left="142"/>
              <w:rPr>
                <w:sz w:val="16"/>
                <w:szCs w:val="16"/>
                <w:lang w:eastAsia="lt-LT"/>
              </w:rPr>
            </w:pPr>
          </w:p>
        </w:tc>
        <w:tc>
          <w:tcPr>
            <w:tcW w:w="918" w:type="dxa"/>
            <w:shd w:val="clear" w:color="auto" w:fill="auto"/>
          </w:tcPr>
          <w:p>
            <w:pPr>
              <w:shd w:val="clear" w:color="000000" w:fill="auto"/>
              <w:suppressAutoHyphens/>
              <w:ind w:left="142"/>
              <w:rPr>
                <w:sz w:val="16"/>
                <w:szCs w:val="16"/>
                <w:lang w:eastAsia="lt-LT"/>
              </w:rPr>
            </w:pPr>
          </w:p>
        </w:tc>
      </w:tr>
      <w:tr>
        <w:tc>
          <w:tcPr>
            <w:tcW w:w="1134" w:type="dxa"/>
            <w:shd w:val="clear" w:color="auto" w:fill="auto"/>
          </w:tcPr>
          <w:p>
            <w:pPr>
              <w:shd w:val="clear" w:color="000000" w:fill="auto"/>
              <w:suppressAutoHyphens/>
              <w:ind w:left="142"/>
              <w:rPr>
                <w:sz w:val="16"/>
                <w:szCs w:val="16"/>
                <w:lang w:eastAsia="lt-LT"/>
              </w:rPr>
            </w:pPr>
            <w:r>
              <w:rPr>
                <w:sz w:val="16"/>
                <w:szCs w:val="16"/>
                <w:lang w:eastAsia="lt-LT"/>
              </w:rPr>
              <w:t>Iš viso</w:t>
            </w:r>
          </w:p>
        </w:tc>
        <w:tc>
          <w:tcPr>
            <w:tcW w:w="959" w:type="dxa"/>
            <w:shd w:val="clear" w:color="auto" w:fill="auto"/>
          </w:tcPr>
          <w:p>
            <w:pPr>
              <w:shd w:val="clear" w:color="000000" w:fill="auto"/>
              <w:suppressAutoHyphens/>
              <w:ind w:left="142"/>
              <w:rPr>
                <w:sz w:val="16"/>
                <w:szCs w:val="16"/>
                <w:lang w:eastAsia="lt-LT"/>
              </w:rPr>
            </w:pPr>
          </w:p>
        </w:tc>
        <w:tc>
          <w:tcPr>
            <w:tcW w:w="992" w:type="dxa"/>
            <w:shd w:val="clear" w:color="auto" w:fill="auto"/>
          </w:tcPr>
          <w:p>
            <w:pPr>
              <w:shd w:val="clear" w:color="000000" w:fill="auto"/>
              <w:suppressAutoHyphens/>
              <w:ind w:left="142"/>
              <w:rPr>
                <w:sz w:val="16"/>
                <w:szCs w:val="16"/>
                <w:lang w:eastAsia="lt-LT"/>
              </w:rPr>
            </w:pPr>
          </w:p>
        </w:tc>
        <w:tc>
          <w:tcPr>
            <w:tcW w:w="1276" w:type="dxa"/>
            <w:shd w:val="clear" w:color="auto" w:fill="auto"/>
          </w:tcPr>
          <w:p>
            <w:pPr>
              <w:shd w:val="clear" w:color="000000" w:fill="auto"/>
              <w:suppressAutoHyphens/>
              <w:ind w:left="142"/>
              <w:rPr>
                <w:sz w:val="16"/>
                <w:szCs w:val="16"/>
                <w:lang w:eastAsia="lt-LT"/>
              </w:rPr>
            </w:pPr>
          </w:p>
        </w:tc>
        <w:tc>
          <w:tcPr>
            <w:tcW w:w="790" w:type="dxa"/>
            <w:shd w:val="clear" w:color="auto" w:fill="auto"/>
          </w:tcPr>
          <w:p>
            <w:pPr>
              <w:shd w:val="clear" w:color="000000" w:fill="auto"/>
              <w:suppressAutoHyphens/>
              <w:ind w:left="142"/>
              <w:rPr>
                <w:sz w:val="16"/>
                <w:szCs w:val="16"/>
                <w:lang w:eastAsia="lt-LT"/>
              </w:rPr>
            </w:pPr>
          </w:p>
        </w:tc>
        <w:tc>
          <w:tcPr>
            <w:tcW w:w="625" w:type="dxa"/>
            <w:shd w:val="clear" w:color="auto" w:fill="auto"/>
          </w:tcPr>
          <w:p>
            <w:pPr>
              <w:shd w:val="clear" w:color="000000" w:fill="auto"/>
              <w:suppressAutoHyphens/>
              <w:ind w:left="142"/>
              <w:rPr>
                <w:sz w:val="16"/>
                <w:szCs w:val="16"/>
                <w:lang w:eastAsia="lt-LT"/>
              </w:rPr>
            </w:pPr>
          </w:p>
        </w:tc>
        <w:tc>
          <w:tcPr>
            <w:tcW w:w="1221" w:type="dxa"/>
            <w:shd w:val="clear" w:color="auto" w:fill="auto"/>
          </w:tcPr>
          <w:p>
            <w:pPr>
              <w:shd w:val="clear" w:color="000000" w:fill="auto"/>
              <w:suppressAutoHyphens/>
              <w:ind w:left="142"/>
              <w:rPr>
                <w:sz w:val="16"/>
                <w:szCs w:val="16"/>
                <w:lang w:eastAsia="lt-LT"/>
              </w:rPr>
            </w:pPr>
          </w:p>
        </w:tc>
        <w:tc>
          <w:tcPr>
            <w:tcW w:w="1034" w:type="dxa"/>
            <w:shd w:val="clear" w:color="auto" w:fill="auto"/>
          </w:tcPr>
          <w:p>
            <w:pPr>
              <w:shd w:val="clear" w:color="000000" w:fill="auto"/>
              <w:suppressAutoHyphens/>
              <w:ind w:left="142"/>
              <w:rPr>
                <w:sz w:val="16"/>
                <w:szCs w:val="16"/>
                <w:lang w:eastAsia="lt-LT"/>
              </w:rPr>
            </w:pPr>
          </w:p>
        </w:tc>
        <w:tc>
          <w:tcPr>
            <w:tcW w:w="1176" w:type="dxa"/>
            <w:shd w:val="clear" w:color="auto" w:fill="auto"/>
          </w:tcPr>
          <w:p>
            <w:pPr>
              <w:shd w:val="clear" w:color="000000" w:fill="auto"/>
              <w:suppressAutoHyphens/>
              <w:ind w:left="142"/>
              <w:rPr>
                <w:sz w:val="16"/>
                <w:szCs w:val="16"/>
                <w:lang w:eastAsia="lt-LT"/>
              </w:rPr>
            </w:pPr>
          </w:p>
        </w:tc>
        <w:tc>
          <w:tcPr>
            <w:tcW w:w="918" w:type="dxa"/>
            <w:shd w:val="clear" w:color="auto" w:fill="auto"/>
          </w:tcPr>
          <w:p>
            <w:pPr>
              <w:shd w:val="clear" w:color="000000" w:fill="auto"/>
              <w:suppressAutoHyphens/>
              <w:ind w:left="142"/>
              <w:rPr>
                <w:sz w:val="16"/>
                <w:szCs w:val="16"/>
                <w:lang w:eastAsia="lt-LT"/>
              </w:rPr>
            </w:pPr>
          </w:p>
        </w:tc>
      </w:tr>
    </w:tbl>
    <w:p>
      <w:pPr>
        <w:shd w:val="clear" w:color="000000" w:fill="auto"/>
        <w:suppressAutoHyphens/>
        <w:ind w:left="142"/>
      </w:pPr>
    </w:p>
    <w:p>
      <w:pPr>
        <w:pStyle w:val="PlainText"/>
        <w:rPr>
          <w:rFonts w:ascii="Times New Roman" w:eastAsia="MS Mincho" w:hAnsi="Times New Roman"/>
          <w:sz w:val="20"/>
          <w:i/>
          <w:iCs/>
        </w:rPr>
      </w:pPr>
      <w:r>
        <w:rPr>
          <w:rFonts w:ascii="Times New Roman" w:eastAsia="MS Mincho" w:hAnsi="Times New Roman"/>
          <w:sz w:val="20"/>
          <w:i/>
          <w:iCs/>
        </w:rPr>
        <w:t>Lentelės pakeitimai:</w:t>
      </w:r>
    </w:p>
    <w:p>
      <w:pPr>
        <w:pStyle w:val="PlainText"/>
        <w:jc w:val="both"/>
        <w:rPr>
          <w:rFonts w:ascii="Times New Roman" w:eastAsia="MS Mincho" w:hAnsi="Times New Roman"/>
          <w:sz w:val="20"/>
          <w:i/>
          <w:iCs/>
        </w:rPr>
      </w:pPr>
      <w:r>
        <w:rPr>
          <w:rFonts w:ascii="Times New Roman" w:eastAsia="MS Mincho" w:hAnsi="Times New Roman"/>
          <w:sz w:val="20"/>
          <w:i/>
          <w:iCs/>
        </w:rPr>
        <w:t xml:space="preserve">Nr. </w:t>
      </w:r>
      <w:fldSimple w:instr="HYPERLINK https://www.e-tar.lt/portal/legalAct.html?documentId=481058507e6b11e6b969d7ae07280e89">
        <w:r w:rsidRPr="00532B9F">
          <w:rPr>
            <w:rFonts w:ascii="Times New Roman" w:eastAsia="MS Mincho" w:hAnsi="Times New Roman"/>
            <w:sz w:val="20"/>
            <w:i/>
            <w:iCs/>
            <w:color w:val="0000FF" w:themeColor="hyperlink"/>
            <w:u w:val="single"/>
          </w:rPr>
          <w:t>D1-620</w:t>
        </w:r>
      </w:fldSimple>
      <w:r>
        <w:rPr>
          <w:rFonts w:ascii="Times New Roman" w:eastAsia="MS Mincho" w:hAnsi="Times New Roman"/>
          <w:sz w:val="20"/>
          <w:i/>
          <w:iCs/>
        </w:rPr>
        <w:t>,
2016-09-19,
paskelbta TAR 2016-09-19, i. k. 2016-23697            </w:t>
      </w:r>
    </w:p>
    <w:p>
      <w:pPr>
        <w:pStyle w:val="PlainText"/>
        <w:jc w:val="both"/>
        <w:rPr>
          <w:rFonts w:ascii="Times New Roman" w:eastAsia="MS Mincho" w:hAnsi="Times New Roman"/>
          <w:sz w:val="20"/>
          <w:i/>
          <w:iCs/>
        </w:rPr>
      </w:pPr>
      <w:r>
        <w:rPr>
          <w:rFonts w:ascii="Times New Roman" w:eastAsia="MS Mincho" w:hAnsi="Times New Roman"/>
          <w:sz w:val="20"/>
          <w:i/>
          <w:iCs/>
        </w:rPr>
        <w:t xml:space="preserve">Nr. </w:t>
      </w:r>
      <w:fldSimple w:instr="HYPERLINK https://www.e-tar.lt/portal/legalAct.html?documentId=3ccee0e0a81511e78a4c904b1afa0332">
        <w:r w:rsidRPr="00532B9F">
          <w:rPr>
            <w:rFonts w:ascii="Times New Roman" w:eastAsia="MS Mincho" w:hAnsi="Times New Roman"/>
            <w:sz w:val="20"/>
            <w:i/>
            <w:iCs/>
            <w:color w:val="0000FF" w:themeColor="hyperlink"/>
            <w:u w:val="single"/>
          </w:rPr>
          <w:t>D1-805</w:t>
        </w:r>
      </w:fldSimple>
      <w:r>
        <w:rPr>
          <w:rFonts w:ascii="Times New Roman" w:eastAsia="MS Mincho" w:hAnsi="Times New Roman"/>
          <w:sz w:val="20"/>
          <w:i/>
          <w:iCs/>
        </w:rPr>
        <w:t>,
2017-10-02,
paskelbta TAR 2017-10-03, i. k. 2017-15563            </w:t>
      </w:r>
    </w:p>
    <w:p/>
    <w:p>
      <w:pPr>
        <w:shd w:val="clear" w:color="000000" w:fill="auto"/>
        <w:tabs>
          <w:tab w:val="left" w:pos="1276"/>
        </w:tabs>
        <w:suppressAutoHyphens/>
        <w:ind w:firstLine="709"/>
        <w:jc w:val="both"/>
        <w:rPr>
          <w:lang w:eastAsia="lt-LT"/>
        </w:rPr>
      </w:pPr>
      <w:r>
        <w:rPr>
          <w:lang w:eastAsia="lt-LT"/>
        </w:rPr>
        <w:t>13</w:t>
      </w:r>
      <w:r>
        <w:rPr>
          <w:lang w:eastAsia="lt-LT"/>
        </w:rPr>
        <w:t>. Didžiausios leistinos mėnesinės įmokos dydis:</w:t>
      </w:r>
    </w:p>
    <w:p>
      <w:pPr>
        <w:shd w:val="clear" w:color="000000" w:fill="auto"/>
        <w:tabs>
          <w:tab w:val="left" w:pos="1418"/>
        </w:tabs>
        <w:suppressAutoHyphens/>
        <w:ind w:firstLine="709"/>
        <w:jc w:val="both"/>
        <w:rPr>
          <w:lang w:eastAsia="lt-LT"/>
        </w:rPr>
      </w:pPr>
      <w:r>
        <w:rPr>
          <w:lang w:eastAsia="lt-LT"/>
        </w:rPr>
        <w:t>13.1</w:t>
      </w:r>
      <w:r>
        <w:rPr>
          <w:lang w:eastAsia="lt-LT"/>
        </w:rPr>
        <w:t>. mėnesinės įmokos dydis, neįvertinant lėšų skolinimosi techniniam darbo projektui parengti ir (ar) statybos techninei priežiūrai vykdyti įtakos: _______ Eur/m</w:t>
      </w:r>
      <w:r>
        <w:rPr>
          <w:vertAlign w:val="superscript"/>
          <w:lang w:eastAsia="lt-LT"/>
        </w:rPr>
        <w:t>2</w:t>
      </w:r>
      <w:r>
        <w:rPr>
          <w:lang w:eastAsia="lt-LT"/>
        </w:rPr>
        <w:t>/mėn.;</w:t>
      </w:r>
    </w:p>
    <w:p>
      <w:pPr>
        <w:pStyle w:val="PlainText"/>
        <w:ind w:firstLine="567"/>
        <w:jc w:val="both"/>
        <w:rPr>
          <w:rFonts w:ascii="Times New Roman" w:hAnsi="Times New Roman"/>
          <w:b/>
          <w:bCs/>
          <w:sz w:val="22"/>
        </w:rPr>
      </w:pPr>
      <w:r>
        <w:rPr>
          <w:rFonts w:ascii="Times New Roman" w:hAnsi="Times New Roman"/>
          <w:sz w:val="22"/>
        </w:rPr>
        <w:t>13.2</w:t>
      </w:r>
      <w:r>
        <w:rPr>
          <w:rFonts w:ascii="Times New Roman" w:hAnsi="Times New Roman"/>
          <w:sz w:val="22"/>
        </w:rPr>
        <w:t>.</w:t>
      </w:r>
      <w:r>
        <w:rPr>
          <w:rFonts w:ascii="Times New Roman" w:eastAsia="MS Mincho" w:hAnsi="Times New Roman"/>
          <w:sz w:val="20"/>
          <w:i/>
          <w:iCs/>
        </w:rPr>
        <w:t xml:space="preserve"> Neteko galios nuo 2018-12-08</w:t>
      </w:r>
    </w:p>
    <w:p>
      <w:pPr>
        <w:pStyle w:val="PlainText"/>
        <w:rPr>
          <w:rFonts w:ascii="Times New Roman" w:eastAsia="MS Mincho" w:hAnsi="Times New Roman"/>
          <w:sz w:val="20"/>
          <w:i/>
          <w:iCs/>
        </w:rPr>
      </w:pPr>
      <w:r>
        <w:rPr>
          <w:rFonts w:ascii="Times New Roman" w:eastAsia="MS Mincho" w:hAnsi="Times New Roman"/>
          <w:sz w:val="20"/>
          <w:i/>
          <w:iCs/>
        </w:rPr>
        <w:t>Papunkčio naikinimas:</w:t>
      </w:r>
    </w:p>
    <w:p>
      <w:pPr>
        <w:pStyle w:val="PlainText"/>
        <w:jc w:val="both"/>
        <w:rPr>
          <w:rFonts w:ascii="Times New Roman" w:eastAsia="MS Mincho" w:hAnsi="Times New Roman"/>
          <w:sz w:val="20"/>
          <w:i/>
          <w:iCs/>
        </w:rPr>
      </w:pPr>
      <w:r>
        <w:rPr>
          <w:rFonts w:ascii="Times New Roman" w:eastAsia="MS Mincho" w:hAnsi="Times New Roman"/>
          <w:sz w:val="20"/>
          <w:i/>
          <w:iCs/>
        </w:rPr>
        <w:t xml:space="preserve">Nr. </w:t>
      </w:r>
      <w:fldSimple w:instr="HYPERLINK https://www.e-tar.lt/portal/legalAct.html?documentId=c3dc8760fa1f11e8a969c20aa4d38bd4">
        <w:r w:rsidRPr="00532B9F">
          <w:rPr>
            <w:rFonts w:ascii="Times New Roman" w:eastAsia="MS Mincho" w:hAnsi="Times New Roman"/>
            <w:sz w:val="20"/>
            <w:i/>
            <w:iCs/>
            <w:color w:val="0000FF" w:themeColor="hyperlink"/>
            <w:u w:val="single"/>
          </w:rPr>
          <w:t>D1-1073</w:t>
        </w:r>
      </w:fldSimple>
      <w:r>
        <w:rPr>
          <w:rFonts w:ascii="Times New Roman" w:eastAsia="MS Mincho" w:hAnsi="Times New Roman"/>
          <w:sz w:val="20"/>
          <w:i/>
          <w:iCs/>
        </w:rPr>
        <w:t>,
2018-12-07,
paskelbta TAR 2018-12-07, i. k. 2018-20118        </w:t>
      </w:r>
    </w:p>
    <w:p/>
    <w:p>
      <w:pPr>
        <w:pStyle w:val="PlainText"/>
        <w:rPr>
          <w:rFonts w:ascii="Times New Roman" w:eastAsia="MS Mincho" w:hAnsi="Times New Roman"/>
          <w:sz w:val="20"/>
          <w:i/>
          <w:iCs/>
        </w:rPr>
      </w:pPr>
      <w:r>
        <w:rPr>
          <w:rFonts w:ascii="Times New Roman" w:eastAsia="MS Mincho" w:hAnsi="Times New Roman"/>
          <w:sz w:val="20"/>
          <w:i/>
          <w:iCs/>
        </w:rPr>
        <w:t>Punkto pakeitimai:</w:t>
      </w:r>
    </w:p>
    <w:p>
      <w:pPr>
        <w:pStyle w:val="PlainText"/>
        <w:jc w:val="both"/>
        <w:rPr>
          <w:rFonts w:ascii="Times New Roman" w:eastAsia="MS Mincho" w:hAnsi="Times New Roman"/>
          <w:sz w:val="20"/>
          <w:i/>
          <w:iCs/>
        </w:rPr>
      </w:pPr>
      <w:r>
        <w:rPr>
          <w:rFonts w:ascii="Times New Roman" w:eastAsia="MS Mincho" w:hAnsi="Times New Roman"/>
          <w:sz w:val="20"/>
          <w:i/>
          <w:iCs/>
        </w:rPr>
        <w:t xml:space="preserve">Nr. </w:t>
      </w:r>
      <w:fldSimple w:instr="HYPERLINK https://www.e-tar.lt/portal/legalAct.html?documentId=481058507e6b11e6b969d7ae07280e89">
        <w:r w:rsidRPr="00532B9F">
          <w:rPr>
            <w:rFonts w:ascii="Times New Roman" w:eastAsia="MS Mincho" w:hAnsi="Times New Roman"/>
            <w:sz w:val="20"/>
            <w:i/>
            <w:iCs/>
            <w:color w:val="0000FF" w:themeColor="hyperlink"/>
            <w:u w:val="single"/>
          </w:rPr>
          <w:t>D1-620</w:t>
        </w:r>
      </w:fldSimple>
      <w:r>
        <w:rPr>
          <w:rFonts w:ascii="Times New Roman" w:eastAsia="MS Mincho" w:hAnsi="Times New Roman"/>
          <w:sz w:val="20"/>
          <w:i/>
          <w:iCs/>
        </w:rPr>
        <w:t>,
2016-09-19,
paskelbta TAR 2016-09-19, i. k. 2016-23697            </w:t>
      </w:r>
    </w:p>
    <w:p/>
    <w:p>
      <w:pPr>
        <w:shd w:val="clear" w:color="000000" w:fill="auto"/>
        <w:ind w:firstLine="709"/>
        <w:jc w:val="both"/>
      </w:pPr>
      <w:r>
        <w:rPr>
          <w:bCs/>
        </w:rPr>
        <w:t>14</w:t>
      </w:r>
      <w:r>
        <w:rPr>
          <w:bCs/>
        </w:rPr>
        <w:t xml:space="preserve">. </w:t>
      </w:r>
      <w:r>
        <w:t xml:space="preserve">Preliminarus kredito gražinimo terminas  _____________metais ar mėn.</w:t>
      </w:r>
    </w:p>
    <w:p>
      <w:pPr>
        <w:shd w:val="clear" w:color="000000" w:fill="auto"/>
        <w:ind w:firstLine="709"/>
        <w:jc w:val="both"/>
      </w:pPr>
      <w:r>
        <w:t>15</w:t>
      </w:r>
      <w:r>
        <w:t>. Pridedama kitų projekto dalių rengimo techninė užduotis, kai Investicijų planas rengiamas pagal atskirą sutartį, numatant, kad šios projekto dalys bus rengiamos perkant jų rengimo paslaugas kartu su statybos rangos darbais.</w:t>
      </w:r>
    </w:p>
    <w:p>
      <w:pPr>
        <w:shd w:val="clear" w:color="000000" w:fill="auto"/>
        <w:jc w:val="center"/>
      </w:pPr>
      <w:r>
        <w:t>_______________</w:t>
      </w:r>
    </w:p>
    <w:p>
      <w:pPr>
        <w:pStyle w:val="PlainText"/>
        <w:rPr>
          <w:rFonts w:ascii="Times New Roman" w:eastAsia="MS Mincho" w:hAnsi="Times New Roman"/>
          <w:sz w:val="20"/>
          <w:i/>
          <w:iCs/>
        </w:rPr>
      </w:pPr>
      <w:r>
        <w:rPr>
          <w:rFonts w:ascii="Times New Roman" w:eastAsia="MS Mincho" w:hAnsi="Times New Roman"/>
          <w:sz w:val="20"/>
          <w:i/>
          <w:iCs/>
        </w:rPr>
        <w:t>Priedo pakeitimai:</w:t>
      </w:r>
    </w:p>
    <w:p>
      <w:pPr>
        <w:pStyle w:val="PlainText"/>
        <w:jc w:val="both"/>
        <w:rPr>
          <w:rFonts w:ascii="Times New Roman" w:eastAsia="MS Mincho" w:hAnsi="Times New Roman"/>
          <w:sz w:val="20"/>
          <w:i/>
          <w:iCs/>
        </w:rPr>
      </w:pPr>
      <w:r>
        <w:rPr>
          <w:rFonts w:ascii="Times New Roman" w:eastAsia="MS Mincho" w:hAnsi="Times New Roman"/>
          <w:sz w:val="20"/>
          <w:i/>
          <w:iCs/>
        </w:rPr>
        <w:t xml:space="preserve">Nr. </w:t>
      </w:r>
      <w:fldSimple w:instr="HYPERLINK https://www.e-tar.lt/portal/legalAct.html?documentId=df803f70257a11e5bf92d6af3f6a2e8b">
        <w:r w:rsidRPr="00532B9F">
          <w:rPr>
            <w:rFonts w:ascii="Times New Roman" w:eastAsia="MS Mincho" w:hAnsi="Times New Roman"/>
            <w:sz w:val="20"/>
            <w:i/>
            <w:iCs/>
            <w:color w:val="0000FF" w:themeColor="hyperlink"/>
            <w:u w:val="single"/>
          </w:rPr>
          <w:t>D1-491</w:t>
        </w:r>
      </w:fldSimple>
      <w:r>
        <w:rPr>
          <w:rFonts w:ascii="Times New Roman" w:eastAsia="MS Mincho" w:hAnsi="Times New Roman"/>
          <w:sz w:val="20"/>
          <w:i/>
          <w:iCs/>
        </w:rPr>
        <w:t>,
2015-06-23,
paskelbta TAR 2015-07-09, i. k. 2015-11162            </w:t>
      </w:r>
    </w:p>
    <w:p/>
    <w:p>
      <w:pPr>
        <w:jc w:val="both"/>
        <w:rPr>
          <w:rFonts w:ascii="Times New Roman" w:hAnsi="Times New Roman"/>
          <w:sz w:val="20"/>
          <w:b/>
        </w:rPr>
      </w:pPr>
    </w:p>
    <w:p>
      <w:pPr>
        <w:jc w:val="both"/>
        <w:rPr>
          <w:rFonts w:ascii="Times New Roman" w:hAnsi="Times New Roman"/>
          <w:sz w:val="20"/>
          <w:b/>
        </w:rPr>
      </w:pPr>
    </w:p>
    <w:p>
      <w:pPr>
        <w:jc w:val="both"/>
        <w:rPr>
          <w:rFonts w:ascii="Times New Roman" w:hAnsi="Times New Roman"/>
          <w:b/>
        </w:rPr>
      </w:pPr>
      <w:r>
        <w:rPr>
          <w:rFonts w:ascii="Times New Roman" w:hAnsi="Times New Roman"/>
          <w:sz w:val="20"/>
          <w:b/>
        </w:rPr>
        <w:t>Pakeitimai:</w:t>
      </w:r>
    </w:p>
    <w:p>
      <w:pPr>
        <w:jc w:val="both"/>
        <w:rPr>
          <w:rFonts w:ascii="Times New Roman" w:hAnsi="Times New Roman"/>
          <w:sz w:val="20"/>
        </w:rPr>
      </w:pPr>
    </w:p>
    <w:p>
      <w:pPr>
        <w:jc w:val="both"/>
        <w:rPr>
          <w:rFonts w:ascii="Times New Roman" w:hAnsi="Times New Roman"/>
        </w:rPr>
      </w:pPr>
      <w:r>
        <w:rPr>
          <w:rFonts w:ascii="Times New Roman" w:hAnsi="Times New Roman"/>
          <w:sz w:val="20"/>
        </w:rPr>
        <w:t>1.</w:t>
      </w:r>
    </w:p>
    <w:p>
      <w:pPr>
        <w:jc w:val="both"/>
        <w:rPr>
          <w:rFonts w:ascii="Times New Roman" w:hAnsi="Times New Roman"/>
        </w:rPr>
      </w:pPr>
      <w:r>
        <w:rPr>
          <w:rFonts w:ascii="Times New Roman" w:hAnsi="Times New Roman"/>
          <w:sz w:val="20"/>
        </w:rPr>
        <w:t>
                    Lietuvos Respublikos aplinkos ministerija, Įsakymas
                </w:t>
      </w:r>
    </w:p>
    <w:p>
      <w:pPr>
        <w:jc w:val="both"/>
        <w:rPr>
          <w:rFonts w:ascii="Times New Roman" w:hAnsi="Times New Roman"/>
        </w:rPr>
      </w:pPr>
      <w:r>
        <w:rPr>
          <w:rFonts w:ascii="Times New Roman" w:hAnsi="Times New Roman"/>
          <w:sz w:val="20"/>
        </w:rPr>
        <w:t xml:space="preserve">Nr. </w:t>
      </w:r>
      <w:fldSimple w:instr="HYPERLINK https://www.e-tar.lt/portal/legalAct.html?documentId=TAR.99DF4A4C989A">
        <w:r w:rsidRPr="00532B9F">
          <w:rPr>
            <w:rFonts w:ascii="Times New Roman" w:eastAsia="MS Mincho" w:hAnsi="Times New Roman"/>
            <w:sz w:val="20"/>
            <w:iCs/>
            <w:color w:val="0000FF" w:themeColor="hyperlink"/>
            <w:u w:val="single"/>
          </w:rPr>
          <w:t>D1-871</w:t>
        </w:r>
      </w:fldSimple>
      <w:r>
        <w:rPr>
          <w:rFonts w:ascii="Times New Roman" w:eastAsia="MS Mincho" w:hAnsi="Times New Roman"/>
          <w:sz w:val="20"/>
          <w:iCs/>
        </w:rPr>
        <w:t>,
2011-11-11,
Žin., 2011, Nr.
139-6563 (2011-11-18), i. k. 111301MISAK00D1-871                </w:t>
      </w:r>
    </w:p>
    <w:p>
      <w:pPr>
        <w:jc w:val="both"/>
        <w:rPr>
          <w:rFonts w:ascii="Times New Roman" w:hAnsi="Times New Roman"/>
        </w:rPr>
      </w:pPr>
      <w:r>
        <w:rPr>
          <w:rFonts w:ascii="Times New Roman" w:hAnsi="Times New Roman"/>
          <w:sz w:val="20"/>
        </w:rPr>
        <w:t>Dėl Lietuvos Respublikos aplinkos ministro 2009 m. lapkričio 10 d. įsakymo Nr. D1-677 "Dėl Daugiabučio namo atnaujinimo (modernizavimo) projekto rengimo tvarkos aprašo patvirtinimo" pakeitimo</w:t>
      </w:r>
    </w:p>
    <w:p>
      <w:pPr>
        <w:jc w:val="both"/>
        <w:rPr>
          <w:rFonts w:ascii="Times New Roman" w:hAnsi="Times New Roman"/>
          <w:sz w:val="20"/>
        </w:rPr>
      </w:pPr>
    </w:p>
    <w:p>
      <w:pPr>
        <w:jc w:val="both"/>
        <w:rPr>
          <w:rFonts w:ascii="Times New Roman" w:hAnsi="Times New Roman"/>
        </w:rPr>
      </w:pPr>
      <w:r>
        <w:rPr>
          <w:rFonts w:ascii="Times New Roman" w:hAnsi="Times New Roman"/>
          <w:sz w:val="20"/>
        </w:rPr>
        <w:t>2.</w:t>
      </w:r>
    </w:p>
    <w:p>
      <w:pPr>
        <w:jc w:val="both"/>
        <w:rPr>
          <w:rFonts w:ascii="Times New Roman" w:hAnsi="Times New Roman"/>
        </w:rPr>
      </w:pPr>
      <w:r>
        <w:rPr>
          <w:rFonts w:ascii="Times New Roman" w:hAnsi="Times New Roman"/>
          <w:sz w:val="20"/>
        </w:rPr>
        <w:t>
                    Lietuvos Respublikos aplinkos ministerija, Įsakymas
                </w:t>
      </w:r>
    </w:p>
    <w:p>
      <w:pPr>
        <w:jc w:val="both"/>
        <w:rPr>
          <w:rFonts w:ascii="Times New Roman" w:hAnsi="Times New Roman"/>
        </w:rPr>
      </w:pPr>
      <w:r>
        <w:rPr>
          <w:rFonts w:ascii="Times New Roman" w:hAnsi="Times New Roman"/>
          <w:sz w:val="20"/>
        </w:rPr>
        <w:t xml:space="preserve">Nr. </w:t>
      </w:r>
      <w:fldSimple w:instr="HYPERLINK https://www.e-tar.lt/portal/legalAct.html?documentId=TAR.30940FBB7FE1">
        <w:r w:rsidRPr="00532B9F">
          <w:rPr>
            <w:rFonts w:ascii="Times New Roman" w:eastAsia="MS Mincho" w:hAnsi="Times New Roman"/>
            <w:sz w:val="20"/>
            <w:iCs/>
            <w:color w:val="0000FF" w:themeColor="hyperlink"/>
            <w:u w:val="single"/>
          </w:rPr>
          <w:t>D1-28</w:t>
        </w:r>
      </w:fldSimple>
      <w:r>
        <w:rPr>
          <w:rFonts w:ascii="Times New Roman" w:eastAsia="MS Mincho" w:hAnsi="Times New Roman"/>
          <w:sz w:val="20"/>
          <w:iCs/>
        </w:rPr>
        <w:t>,
2012-01-12,
Žin., 2012, Nr.
9-351 (2012-01-18), i. k. 112301MISAK000D1-28                </w:t>
      </w:r>
    </w:p>
    <w:p>
      <w:pPr>
        <w:jc w:val="both"/>
        <w:rPr>
          <w:rFonts w:ascii="Times New Roman" w:hAnsi="Times New Roman"/>
        </w:rPr>
      </w:pPr>
      <w:r>
        <w:rPr>
          <w:rFonts w:ascii="Times New Roman" w:hAnsi="Times New Roman"/>
          <w:sz w:val="20"/>
        </w:rPr>
        <w:t>Dėl Lietuvos Respublikos aplinkos ministro 2009 m. lapkričio 10 d. įsakymo Nr. D1-677 "Dėl Daugiabučio namo atnaujinimo (modernizavimo) projekto rengimo tvarkos aprašo patvirtinimo" pakeitimo</w:t>
      </w:r>
    </w:p>
    <w:p>
      <w:pPr>
        <w:jc w:val="both"/>
        <w:rPr>
          <w:rFonts w:ascii="Times New Roman" w:hAnsi="Times New Roman"/>
          <w:sz w:val="20"/>
        </w:rPr>
      </w:pPr>
    </w:p>
    <w:p>
      <w:pPr>
        <w:jc w:val="both"/>
        <w:rPr>
          <w:rFonts w:ascii="Times New Roman" w:hAnsi="Times New Roman"/>
        </w:rPr>
      </w:pPr>
      <w:r>
        <w:rPr>
          <w:rFonts w:ascii="Times New Roman" w:hAnsi="Times New Roman"/>
          <w:sz w:val="20"/>
        </w:rPr>
        <w:t>3.</w:t>
      </w:r>
    </w:p>
    <w:p>
      <w:pPr>
        <w:jc w:val="both"/>
        <w:rPr>
          <w:rFonts w:ascii="Times New Roman" w:hAnsi="Times New Roman"/>
        </w:rPr>
      </w:pPr>
      <w:r>
        <w:rPr>
          <w:rFonts w:ascii="Times New Roman" w:hAnsi="Times New Roman"/>
          <w:sz w:val="20"/>
        </w:rPr>
        <w:t>
                    Lietuvos Respublikos aplinkos ministerija, Įsakymas
                </w:t>
      </w:r>
    </w:p>
    <w:p>
      <w:pPr>
        <w:jc w:val="both"/>
        <w:rPr>
          <w:rFonts w:ascii="Times New Roman" w:hAnsi="Times New Roman"/>
        </w:rPr>
      </w:pPr>
      <w:r>
        <w:rPr>
          <w:rFonts w:ascii="Times New Roman" w:hAnsi="Times New Roman"/>
          <w:sz w:val="20"/>
        </w:rPr>
        <w:t xml:space="preserve">Nr. </w:t>
      </w:r>
      <w:fldSimple w:instr="HYPERLINK https://www.e-tar.lt/portal/legalAct.html?documentId=TAR.BCAE40F0FC53">
        <w:r w:rsidRPr="00532B9F">
          <w:rPr>
            <w:rFonts w:ascii="Times New Roman" w:eastAsia="MS Mincho" w:hAnsi="Times New Roman"/>
            <w:sz w:val="20"/>
            <w:iCs/>
            <w:color w:val="0000FF" w:themeColor="hyperlink"/>
            <w:u w:val="single"/>
          </w:rPr>
          <w:t>D1-791</w:t>
        </w:r>
      </w:fldSimple>
      <w:r>
        <w:rPr>
          <w:rFonts w:ascii="Times New Roman" w:eastAsia="MS Mincho" w:hAnsi="Times New Roman"/>
          <w:sz w:val="20"/>
          <w:iCs/>
        </w:rPr>
        <w:t>,
2012-09-28,
Žin., 2012, Nr.
114-5797 (2012-10-02), i. k. 112301MISAK00D1-791                </w:t>
      </w:r>
    </w:p>
    <w:p>
      <w:pPr>
        <w:jc w:val="both"/>
        <w:rPr>
          <w:rFonts w:ascii="Times New Roman" w:hAnsi="Times New Roman"/>
        </w:rPr>
      </w:pPr>
      <w:r>
        <w:rPr>
          <w:rFonts w:ascii="Times New Roman" w:hAnsi="Times New Roman"/>
          <w:sz w:val="20"/>
        </w:rPr>
        <w:t>Dėl Lietuvos Respublikos aplinkos ministro 2009 m. lapkričio 10 d. įsakymo Nr. D1-677 "Dėl Daugiabučio namo atnaujinimo (modernizavimo) projekto rengimo tvarkos aprašo patvirtinimo" pakeitimo</w:t>
      </w:r>
    </w:p>
    <w:p>
      <w:pPr>
        <w:jc w:val="both"/>
        <w:rPr>
          <w:rFonts w:ascii="Times New Roman" w:hAnsi="Times New Roman"/>
          <w:sz w:val="20"/>
        </w:rPr>
      </w:pPr>
    </w:p>
    <w:p>
      <w:pPr>
        <w:jc w:val="both"/>
        <w:rPr>
          <w:rFonts w:ascii="Times New Roman" w:hAnsi="Times New Roman"/>
        </w:rPr>
      </w:pPr>
      <w:r>
        <w:rPr>
          <w:rFonts w:ascii="Times New Roman" w:hAnsi="Times New Roman"/>
          <w:sz w:val="20"/>
        </w:rPr>
        <w:t>4.</w:t>
      </w:r>
    </w:p>
    <w:p>
      <w:pPr>
        <w:jc w:val="both"/>
        <w:rPr>
          <w:rFonts w:ascii="Times New Roman" w:hAnsi="Times New Roman"/>
        </w:rPr>
      </w:pPr>
      <w:r>
        <w:rPr>
          <w:rFonts w:ascii="Times New Roman" w:hAnsi="Times New Roman"/>
          <w:sz w:val="20"/>
        </w:rPr>
        <w:t>
                    Lietuvos Respublikos aplinkos ministerija, Įsakymas
                </w:t>
      </w:r>
    </w:p>
    <w:p>
      <w:pPr>
        <w:jc w:val="both"/>
        <w:rPr>
          <w:rFonts w:ascii="Times New Roman" w:hAnsi="Times New Roman"/>
        </w:rPr>
      </w:pPr>
      <w:r>
        <w:rPr>
          <w:rFonts w:ascii="Times New Roman" w:hAnsi="Times New Roman"/>
          <w:sz w:val="20"/>
        </w:rPr>
        <w:t xml:space="preserve">Nr. </w:t>
      </w:r>
      <w:fldSimple w:instr="HYPERLINK https://www.e-tar.lt/portal/legalAct.html?documentId=TAR.5553B93C5A43">
        <w:r w:rsidRPr="00532B9F">
          <w:rPr>
            <w:rFonts w:ascii="Times New Roman" w:eastAsia="MS Mincho" w:hAnsi="Times New Roman"/>
            <w:sz w:val="20"/>
            <w:iCs/>
            <w:color w:val="0000FF" w:themeColor="hyperlink"/>
            <w:u w:val="single"/>
          </w:rPr>
          <w:t>D1-416</w:t>
        </w:r>
      </w:fldSimple>
      <w:r>
        <w:rPr>
          <w:rFonts w:ascii="Times New Roman" w:eastAsia="MS Mincho" w:hAnsi="Times New Roman"/>
          <w:sz w:val="20"/>
          <w:iCs/>
        </w:rPr>
        <w:t>,
2013-06-03,
Žin., 2013, Nr.
60-2986 (2013-06-07), i. k. 113301MISAK00D1-416                </w:t>
      </w:r>
    </w:p>
    <w:p>
      <w:pPr>
        <w:jc w:val="both"/>
        <w:rPr>
          <w:rFonts w:ascii="Times New Roman" w:hAnsi="Times New Roman"/>
        </w:rPr>
      </w:pPr>
      <w:r>
        <w:rPr>
          <w:rFonts w:ascii="Times New Roman" w:hAnsi="Times New Roman"/>
          <w:sz w:val="20"/>
        </w:rPr>
        <w:t>Dėl Lietuvos Respublikos aplinkos ministro 2009 m. lapkričio 10 d. įsakymo Nr. D1-677 "Dėl Daugiabučio namo atnaujinimo (modernizavimo) projekto rengimo tvarkos aprašo patvirtinimo" pakeitimo</w:t>
      </w:r>
    </w:p>
    <w:p>
      <w:pPr>
        <w:jc w:val="both"/>
        <w:rPr>
          <w:rFonts w:ascii="Times New Roman" w:hAnsi="Times New Roman"/>
          <w:sz w:val="20"/>
        </w:rPr>
      </w:pPr>
    </w:p>
    <w:p>
      <w:pPr>
        <w:jc w:val="both"/>
        <w:rPr>
          <w:rFonts w:ascii="Times New Roman" w:hAnsi="Times New Roman"/>
        </w:rPr>
      </w:pPr>
      <w:r>
        <w:rPr>
          <w:rFonts w:ascii="Times New Roman" w:hAnsi="Times New Roman"/>
          <w:sz w:val="20"/>
        </w:rPr>
        <w:t>5.</w:t>
      </w:r>
    </w:p>
    <w:p>
      <w:pPr>
        <w:jc w:val="both"/>
        <w:rPr>
          <w:rFonts w:ascii="Times New Roman" w:hAnsi="Times New Roman"/>
        </w:rPr>
      </w:pPr>
      <w:r>
        <w:rPr>
          <w:rFonts w:ascii="Times New Roman" w:hAnsi="Times New Roman"/>
          <w:sz w:val="20"/>
        </w:rPr>
        <w:t>
                    Lietuvos Respublikos aplinkos ministerija, Įsakymas
                </w:t>
      </w:r>
    </w:p>
    <w:p>
      <w:pPr>
        <w:jc w:val="both"/>
        <w:rPr>
          <w:rFonts w:ascii="Times New Roman" w:hAnsi="Times New Roman"/>
        </w:rPr>
      </w:pPr>
      <w:r>
        <w:rPr>
          <w:rFonts w:ascii="Times New Roman" w:hAnsi="Times New Roman"/>
          <w:sz w:val="20"/>
        </w:rPr>
        <w:t xml:space="preserve">Nr. </w:t>
      </w:r>
      <w:fldSimple w:instr="HYPERLINK https://www.e-tar.lt/portal/legalAct.html?documentId=TAR.B07AEC35CD1A">
        <w:r w:rsidRPr="00532B9F">
          <w:rPr>
            <w:rFonts w:ascii="Times New Roman" w:eastAsia="MS Mincho" w:hAnsi="Times New Roman"/>
            <w:sz w:val="20"/>
            <w:iCs/>
            <w:color w:val="0000FF" w:themeColor="hyperlink"/>
            <w:u w:val="single"/>
          </w:rPr>
          <w:t>D1-866</w:t>
        </w:r>
      </w:fldSimple>
      <w:r>
        <w:rPr>
          <w:rFonts w:ascii="Times New Roman" w:eastAsia="MS Mincho" w:hAnsi="Times New Roman"/>
          <w:sz w:val="20"/>
          <w:iCs/>
        </w:rPr>
        <w:t>,
2013-11-26,
Žin., 2013, Nr.
122-6202 (2013-11-29), i. k. 113301MISAK00D1-866                </w:t>
      </w:r>
    </w:p>
    <w:p>
      <w:pPr>
        <w:jc w:val="both"/>
        <w:rPr>
          <w:rFonts w:ascii="Times New Roman" w:hAnsi="Times New Roman"/>
        </w:rPr>
      </w:pPr>
      <w:r>
        <w:rPr>
          <w:rFonts w:ascii="Times New Roman" w:hAnsi="Times New Roman"/>
          <w:sz w:val="20"/>
        </w:rPr>
        <w:t>Dėl Lietuvos Respublikos aplinkos ministro 2009 m. lapkričio 10 d. įsakymo Nr. D1-677 "Dėl Daugiabučio namo atnaujinimo (modernizavimo) projekto rengimo tvarkos aprašo patvirtinimo" pakeitimo</w:t>
      </w:r>
    </w:p>
    <w:p>
      <w:pPr>
        <w:jc w:val="both"/>
        <w:rPr>
          <w:rFonts w:ascii="Times New Roman" w:hAnsi="Times New Roman"/>
          <w:sz w:val="20"/>
        </w:rPr>
      </w:pPr>
    </w:p>
    <w:p>
      <w:pPr>
        <w:jc w:val="both"/>
        <w:rPr>
          <w:rFonts w:ascii="Times New Roman" w:hAnsi="Times New Roman"/>
        </w:rPr>
      </w:pPr>
      <w:r>
        <w:rPr>
          <w:rFonts w:ascii="Times New Roman" w:hAnsi="Times New Roman"/>
          <w:sz w:val="20"/>
        </w:rPr>
        <w:t>6.</w:t>
      </w:r>
    </w:p>
    <w:p>
      <w:pPr>
        <w:jc w:val="both"/>
        <w:rPr>
          <w:rFonts w:ascii="Times New Roman" w:hAnsi="Times New Roman"/>
        </w:rPr>
      </w:pPr>
      <w:r>
        <w:rPr>
          <w:rFonts w:ascii="Times New Roman" w:hAnsi="Times New Roman"/>
          <w:sz w:val="20"/>
        </w:rPr>
        <w:t>
                    Lietuvos Respublikos aplinkos ministerija, Įsakymas
                </w:t>
      </w:r>
    </w:p>
    <w:p>
      <w:pPr>
        <w:jc w:val="both"/>
        <w:rPr>
          <w:rFonts w:ascii="Times New Roman" w:hAnsi="Times New Roman"/>
        </w:rPr>
      </w:pPr>
      <w:r>
        <w:rPr>
          <w:rFonts w:ascii="Times New Roman" w:hAnsi="Times New Roman"/>
          <w:sz w:val="20"/>
        </w:rPr>
        <w:t xml:space="preserve">Nr. </w:t>
      </w:r>
      <w:fldSimple w:instr="HYPERLINK https://www.e-tar.lt/portal/legalAct.html?documentId=b674a350ca1811e3abbadadc93da7b71">
        <w:r w:rsidRPr="00532B9F">
          <w:rPr>
            <w:rFonts w:ascii="Times New Roman" w:eastAsia="MS Mincho" w:hAnsi="Times New Roman"/>
            <w:sz w:val="20"/>
            <w:iCs/>
            <w:color w:val="0000FF" w:themeColor="hyperlink"/>
            <w:u w:val="single"/>
          </w:rPr>
          <w:t>D1-365</w:t>
        </w:r>
      </w:fldSimple>
      <w:r>
        <w:rPr>
          <w:rFonts w:ascii="Times New Roman" w:eastAsia="MS Mincho" w:hAnsi="Times New Roman"/>
          <w:sz w:val="20"/>
          <w:iCs/>
        </w:rPr>
        <w:t>,
2014-04-18,
paskelbta TAR 2014-04-22, i. k. 2014-04594                </w:t>
      </w:r>
    </w:p>
    <w:p>
      <w:pPr>
        <w:jc w:val="both"/>
        <w:rPr>
          <w:rFonts w:ascii="Times New Roman" w:hAnsi="Times New Roman"/>
        </w:rPr>
      </w:pPr>
      <w:r>
        <w:rPr>
          <w:rFonts w:ascii="Times New Roman" w:hAnsi="Times New Roman"/>
          <w:sz w:val="20"/>
        </w:rPr>
        <w:t>Dėl Lietuvos Respublikos aplinkos ministro 2009 m. lapkričio 10 d. įsakymo Nr.D1-677 "Dėl Daugiabučio namo atnaujinimo (modernizavimo) projekto rengimo tvarkos aprašo patvirtinimo" pakeitimo</w:t>
      </w:r>
    </w:p>
    <w:p>
      <w:pPr>
        <w:jc w:val="both"/>
        <w:rPr>
          <w:rFonts w:ascii="Times New Roman" w:hAnsi="Times New Roman"/>
          <w:sz w:val="20"/>
        </w:rPr>
      </w:pPr>
    </w:p>
    <w:p>
      <w:pPr>
        <w:jc w:val="both"/>
        <w:rPr>
          <w:rFonts w:ascii="Times New Roman" w:hAnsi="Times New Roman"/>
        </w:rPr>
      </w:pPr>
      <w:r>
        <w:rPr>
          <w:rFonts w:ascii="Times New Roman" w:hAnsi="Times New Roman"/>
          <w:sz w:val="20"/>
        </w:rPr>
        <w:t>7.</w:t>
      </w:r>
    </w:p>
    <w:p>
      <w:pPr>
        <w:jc w:val="both"/>
        <w:rPr>
          <w:rFonts w:ascii="Times New Roman" w:hAnsi="Times New Roman"/>
        </w:rPr>
      </w:pPr>
      <w:r>
        <w:rPr>
          <w:rFonts w:ascii="Times New Roman" w:hAnsi="Times New Roman"/>
          <w:sz w:val="20"/>
        </w:rPr>
        <w:t>
                    Lietuvos Respublikos aplinkos ministerija, Įsakymas
                </w:t>
      </w:r>
    </w:p>
    <w:p>
      <w:pPr>
        <w:jc w:val="both"/>
        <w:rPr>
          <w:rFonts w:ascii="Times New Roman" w:hAnsi="Times New Roman"/>
        </w:rPr>
      </w:pPr>
      <w:r>
        <w:rPr>
          <w:rFonts w:ascii="Times New Roman" w:hAnsi="Times New Roman"/>
          <w:sz w:val="20"/>
        </w:rPr>
        <w:t xml:space="preserve">Nr. </w:t>
      </w:r>
      <w:fldSimple w:instr="HYPERLINK https://www.e-tar.lt/portal/legalAct.html?documentId=d8852b70eca211e3bb22becb572235f5">
        <w:r w:rsidRPr="00532B9F">
          <w:rPr>
            <w:rFonts w:ascii="Times New Roman" w:eastAsia="MS Mincho" w:hAnsi="Times New Roman"/>
            <w:sz w:val="20"/>
            <w:iCs/>
            <w:color w:val="0000FF" w:themeColor="hyperlink"/>
            <w:u w:val="single"/>
          </w:rPr>
          <w:t>D1-503</w:t>
        </w:r>
      </w:fldSimple>
      <w:r>
        <w:rPr>
          <w:rFonts w:ascii="Times New Roman" w:eastAsia="MS Mincho" w:hAnsi="Times New Roman"/>
          <w:sz w:val="20"/>
          <w:iCs/>
        </w:rPr>
        <w:t>,
2014-06-05,
paskelbta TAR 2014-06-06, i. k. 2014-07269                </w:t>
      </w:r>
    </w:p>
    <w:p>
      <w:pPr>
        <w:jc w:val="both"/>
        <w:rPr>
          <w:rFonts w:ascii="Times New Roman" w:hAnsi="Times New Roman"/>
        </w:rPr>
      </w:pPr>
      <w:r>
        <w:rPr>
          <w:rFonts w:ascii="Times New Roman" w:hAnsi="Times New Roman"/>
          <w:sz w:val="20"/>
        </w:rPr>
        <w:t>Dėl Lietuvos Respublikos aplinkos ministro 2009 m. lapkričio 10 d. įsakymo Nr. D1-677 „Dėl Daugiabučio namo atnaujinimo (modernizavimo) projekto rengimo tvarkos aprašo patvirtinimo“ pakeitimo</w:t>
      </w:r>
    </w:p>
    <w:p>
      <w:pPr>
        <w:jc w:val="both"/>
        <w:rPr>
          <w:rFonts w:ascii="Times New Roman" w:hAnsi="Times New Roman"/>
          <w:sz w:val="20"/>
        </w:rPr>
      </w:pPr>
    </w:p>
    <w:p>
      <w:pPr>
        <w:jc w:val="both"/>
        <w:rPr>
          <w:rFonts w:ascii="Times New Roman" w:hAnsi="Times New Roman"/>
        </w:rPr>
      </w:pPr>
      <w:r>
        <w:rPr>
          <w:rFonts w:ascii="Times New Roman" w:hAnsi="Times New Roman"/>
          <w:sz w:val="20"/>
        </w:rPr>
        <w:t>8.</w:t>
      </w:r>
    </w:p>
    <w:p>
      <w:pPr>
        <w:jc w:val="both"/>
        <w:rPr>
          <w:rFonts w:ascii="Times New Roman" w:hAnsi="Times New Roman"/>
        </w:rPr>
      </w:pPr>
      <w:r>
        <w:rPr>
          <w:rFonts w:ascii="Times New Roman" w:hAnsi="Times New Roman"/>
          <w:sz w:val="20"/>
        </w:rPr>
        <w:t>
                    Lietuvos Respublikos aplinkos ministerija, Įsakymas
                </w:t>
      </w:r>
    </w:p>
    <w:p>
      <w:pPr>
        <w:jc w:val="both"/>
        <w:rPr>
          <w:rFonts w:ascii="Times New Roman" w:hAnsi="Times New Roman"/>
        </w:rPr>
      </w:pPr>
      <w:r>
        <w:rPr>
          <w:rFonts w:ascii="Times New Roman" w:hAnsi="Times New Roman"/>
          <w:sz w:val="20"/>
        </w:rPr>
        <w:t xml:space="preserve">Nr. </w:t>
      </w:r>
      <w:fldSimple w:instr="HYPERLINK https://www.e-tar.lt/portal/legalAct.html?documentId=0ae41a20d9d511e4bddbf1b55e924c57">
        <w:r w:rsidRPr="00532B9F">
          <w:rPr>
            <w:rFonts w:ascii="Times New Roman" w:eastAsia="MS Mincho" w:hAnsi="Times New Roman"/>
            <w:sz w:val="20"/>
            <w:iCs/>
            <w:color w:val="0000FF" w:themeColor="hyperlink"/>
            <w:u w:val="single"/>
          </w:rPr>
          <w:t>D1-107</w:t>
        </w:r>
      </w:fldSimple>
      <w:r>
        <w:rPr>
          <w:rFonts w:ascii="Times New Roman" w:eastAsia="MS Mincho" w:hAnsi="Times New Roman"/>
          <w:sz w:val="20"/>
          <w:iCs/>
        </w:rPr>
        <w:t>,
2015-02-12,
paskelbta TAR 2015-04-03, i. k. 2015-05054                </w:t>
      </w:r>
    </w:p>
    <w:p>
      <w:pPr>
        <w:jc w:val="both"/>
        <w:rPr>
          <w:rFonts w:ascii="Times New Roman" w:hAnsi="Times New Roman"/>
        </w:rPr>
      </w:pPr>
      <w:r>
        <w:rPr>
          <w:rFonts w:ascii="Times New Roman" w:hAnsi="Times New Roman"/>
          <w:sz w:val="20"/>
        </w:rPr>
        <w:t>Dėl Lietuvos Respublikos aplinkos ministro 2009 m. lapkričio 10 d. įsakymo Nr. D1-677 „Dėl Daugiabučio namo atnaujinimo (modernizavimo) projekto rengimo tvarkos aprašo patvirtinimo“ pakeitimo</w:t>
      </w:r>
    </w:p>
    <w:p>
      <w:pPr>
        <w:jc w:val="both"/>
        <w:rPr>
          <w:rFonts w:ascii="Times New Roman" w:hAnsi="Times New Roman"/>
          <w:sz w:val="20"/>
        </w:rPr>
      </w:pPr>
    </w:p>
    <w:p>
      <w:pPr>
        <w:jc w:val="both"/>
        <w:rPr>
          <w:rFonts w:ascii="Times New Roman" w:hAnsi="Times New Roman"/>
        </w:rPr>
      </w:pPr>
      <w:r>
        <w:rPr>
          <w:rFonts w:ascii="Times New Roman" w:hAnsi="Times New Roman"/>
          <w:sz w:val="20"/>
        </w:rPr>
        <w:t>9.</w:t>
      </w:r>
    </w:p>
    <w:p>
      <w:pPr>
        <w:jc w:val="both"/>
        <w:rPr>
          <w:rFonts w:ascii="Times New Roman" w:hAnsi="Times New Roman"/>
        </w:rPr>
      </w:pPr>
      <w:r>
        <w:rPr>
          <w:rFonts w:ascii="Times New Roman" w:hAnsi="Times New Roman"/>
          <w:sz w:val="20"/>
        </w:rPr>
        <w:t>
                    Lietuvos Respublikos aplinkos ministerija, Įsakymas
                </w:t>
      </w:r>
    </w:p>
    <w:p>
      <w:pPr>
        <w:jc w:val="both"/>
        <w:rPr>
          <w:rFonts w:ascii="Times New Roman" w:hAnsi="Times New Roman"/>
        </w:rPr>
      </w:pPr>
      <w:r>
        <w:rPr>
          <w:rFonts w:ascii="Times New Roman" w:hAnsi="Times New Roman"/>
          <w:sz w:val="20"/>
        </w:rPr>
        <w:t xml:space="preserve">Nr. </w:t>
      </w:r>
      <w:fldSimple w:instr="HYPERLINK https://www.e-tar.lt/portal/legalAct.html?documentId=df803f70257a11e5bf92d6af3f6a2e8b">
        <w:r w:rsidRPr="00532B9F">
          <w:rPr>
            <w:rFonts w:ascii="Times New Roman" w:eastAsia="MS Mincho" w:hAnsi="Times New Roman"/>
            <w:sz w:val="20"/>
            <w:iCs/>
            <w:color w:val="0000FF" w:themeColor="hyperlink"/>
            <w:u w:val="single"/>
          </w:rPr>
          <w:t>D1-491</w:t>
        </w:r>
      </w:fldSimple>
      <w:r>
        <w:rPr>
          <w:rFonts w:ascii="Times New Roman" w:eastAsia="MS Mincho" w:hAnsi="Times New Roman"/>
          <w:sz w:val="20"/>
          <w:iCs/>
        </w:rPr>
        <w:t>,
2015-06-23,
paskelbta TAR 2015-07-09, i. k. 2015-11162                </w:t>
      </w:r>
    </w:p>
    <w:p>
      <w:pPr>
        <w:jc w:val="both"/>
        <w:rPr>
          <w:rFonts w:ascii="Times New Roman" w:hAnsi="Times New Roman"/>
        </w:rPr>
      </w:pPr>
      <w:r>
        <w:rPr>
          <w:rFonts w:ascii="Times New Roman" w:hAnsi="Times New Roman"/>
          <w:sz w:val="20"/>
        </w:rPr>
        <w:t>Dėl Lietuvos Respublikos aplinkos ministro 2009 m. lapkričio 10 d. įsakymo Nr. D1-677 „Dėl Daugiabučio namo atnaujinimo (modernizavimo) investicijų plano rengimo tvarkos aprašo patvirtinimo“ pakeitimo</w:t>
      </w:r>
    </w:p>
    <w:p>
      <w:pPr>
        <w:jc w:val="both"/>
        <w:rPr>
          <w:rFonts w:ascii="Times New Roman" w:hAnsi="Times New Roman"/>
          <w:sz w:val="20"/>
        </w:rPr>
      </w:pPr>
    </w:p>
    <w:p>
      <w:pPr>
        <w:jc w:val="both"/>
        <w:rPr>
          <w:rFonts w:ascii="Times New Roman" w:hAnsi="Times New Roman"/>
        </w:rPr>
      </w:pPr>
      <w:r>
        <w:rPr>
          <w:rFonts w:ascii="Times New Roman" w:hAnsi="Times New Roman"/>
          <w:sz w:val="20"/>
        </w:rPr>
        <w:t>10.</w:t>
      </w:r>
    </w:p>
    <w:p>
      <w:pPr>
        <w:jc w:val="both"/>
        <w:rPr>
          <w:rFonts w:ascii="Times New Roman" w:hAnsi="Times New Roman"/>
        </w:rPr>
      </w:pPr>
      <w:r>
        <w:rPr>
          <w:rFonts w:ascii="Times New Roman" w:hAnsi="Times New Roman"/>
          <w:sz w:val="20"/>
        </w:rPr>
        <w:t>
                    Lietuvos Respublikos aplinkos ministerija, Įsakymas
                </w:t>
      </w:r>
    </w:p>
    <w:p>
      <w:pPr>
        <w:jc w:val="both"/>
        <w:rPr>
          <w:rFonts w:ascii="Times New Roman" w:hAnsi="Times New Roman"/>
        </w:rPr>
      </w:pPr>
      <w:r>
        <w:rPr>
          <w:rFonts w:ascii="Times New Roman" w:hAnsi="Times New Roman"/>
          <w:sz w:val="20"/>
        </w:rPr>
        <w:t xml:space="preserve">Nr. </w:t>
      </w:r>
      <w:fldSimple w:instr="HYPERLINK https://www.e-tar.lt/portal/legalAct.html?documentId=e2bbcad03cc511e5aee6f3ae4a9cfa2d">
        <w:r w:rsidRPr="00532B9F">
          <w:rPr>
            <w:rFonts w:ascii="Times New Roman" w:eastAsia="MS Mincho" w:hAnsi="Times New Roman"/>
            <w:sz w:val="20"/>
            <w:iCs/>
            <w:color w:val="0000FF" w:themeColor="hyperlink"/>
            <w:u w:val="single"/>
          </w:rPr>
          <w:t>D1-580</w:t>
        </w:r>
      </w:fldSimple>
      <w:r>
        <w:rPr>
          <w:rFonts w:ascii="Times New Roman" w:eastAsia="MS Mincho" w:hAnsi="Times New Roman"/>
          <w:sz w:val="20"/>
          <w:iCs/>
        </w:rPr>
        <w:t>,
2015-08-04,
paskelbta TAR 2015-08-07, i. k. 2015-12093                </w:t>
      </w:r>
    </w:p>
    <w:p>
      <w:pPr>
        <w:jc w:val="both"/>
        <w:rPr>
          <w:rFonts w:ascii="Times New Roman" w:hAnsi="Times New Roman"/>
        </w:rPr>
      </w:pPr>
      <w:r>
        <w:rPr>
          <w:rFonts w:ascii="Times New Roman" w:hAnsi="Times New Roman"/>
          <w:sz w:val="20"/>
        </w:rPr>
        <w:t>Lietuvos Respublikos aplinkos ministro 2009 m. lapkričio 10 d. įsakymas Nr. D1-677 „Dėl Daugiabučio namo atnaujinimo (modernizavimo) investicijų plano rengimo tvarkos aprašo patvirtinimo“ papildymo</w:t>
      </w:r>
    </w:p>
    <w:p>
      <w:pPr>
        <w:jc w:val="both"/>
        <w:rPr>
          <w:rFonts w:ascii="Times New Roman" w:hAnsi="Times New Roman"/>
          <w:sz w:val="20"/>
        </w:rPr>
      </w:pPr>
    </w:p>
    <w:p>
      <w:pPr>
        <w:jc w:val="both"/>
        <w:rPr>
          <w:rFonts w:ascii="Times New Roman" w:hAnsi="Times New Roman"/>
        </w:rPr>
      </w:pPr>
      <w:r>
        <w:rPr>
          <w:rFonts w:ascii="Times New Roman" w:hAnsi="Times New Roman"/>
          <w:sz w:val="20"/>
        </w:rPr>
        <w:t>11.</w:t>
      </w:r>
    </w:p>
    <w:p>
      <w:pPr>
        <w:jc w:val="both"/>
        <w:rPr>
          <w:rFonts w:ascii="Times New Roman" w:hAnsi="Times New Roman"/>
        </w:rPr>
      </w:pPr>
      <w:r>
        <w:rPr>
          <w:rFonts w:ascii="Times New Roman" w:hAnsi="Times New Roman"/>
          <w:sz w:val="20"/>
        </w:rPr>
        <w:t>
                    Lietuvos Respublikos aplinkos ministerija, Įsakymas
                </w:t>
      </w:r>
    </w:p>
    <w:p>
      <w:pPr>
        <w:jc w:val="both"/>
        <w:rPr>
          <w:rFonts w:ascii="Times New Roman" w:hAnsi="Times New Roman"/>
        </w:rPr>
      </w:pPr>
      <w:r>
        <w:rPr>
          <w:rFonts w:ascii="Times New Roman" w:hAnsi="Times New Roman"/>
          <w:sz w:val="20"/>
        </w:rPr>
        <w:t xml:space="preserve">Nr. </w:t>
      </w:r>
      <w:fldSimple w:instr="HYPERLINK https://www.e-tar.lt/portal/legalAct.html?documentId=481058507e6b11e6b969d7ae07280e89">
        <w:r w:rsidRPr="00532B9F">
          <w:rPr>
            <w:rFonts w:ascii="Times New Roman" w:eastAsia="MS Mincho" w:hAnsi="Times New Roman"/>
            <w:sz w:val="20"/>
            <w:iCs/>
            <w:color w:val="0000FF" w:themeColor="hyperlink"/>
            <w:u w:val="single"/>
          </w:rPr>
          <w:t>D1-620</w:t>
        </w:r>
      </w:fldSimple>
      <w:r>
        <w:rPr>
          <w:rFonts w:ascii="Times New Roman" w:eastAsia="MS Mincho" w:hAnsi="Times New Roman"/>
          <w:sz w:val="20"/>
          <w:iCs/>
        </w:rPr>
        <w:t>,
2016-09-19,
paskelbta TAR 2016-09-19, i. k. 2016-23697                </w:t>
      </w:r>
    </w:p>
    <w:p>
      <w:pPr>
        <w:jc w:val="both"/>
        <w:rPr>
          <w:rFonts w:ascii="Times New Roman" w:hAnsi="Times New Roman"/>
        </w:rPr>
      </w:pPr>
      <w:r>
        <w:rPr>
          <w:rFonts w:ascii="Times New Roman" w:hAnsi="Times New Roman"/>
          <w:sz w:val="20"/>
        </w:rPr>
        <w:t>Dėl Lietuvos Respublikos aplinkos ministro 2009 m. lapkričio 10 d. įsakymo Nr. D1-677 „Dėl Daugiabučio namo atnaujinimo (modernizavimo) investicijų plano rengimo tvarkos aprašo patvirtinimo“ pakeitimo</w:t>
      </w:r>
    </w:p>
    <w:p>
      <w:pPr>
        <w:jc w:val="both"/>
        <w:rPr>
          <w:rFonts w:ascii="Times New Roman" w:hAnsi="Times New Roman"/>
          <w:sz w:val="20"/>
        </w:rPr>
      </w:pPr>
    </w:p>
    <w:p>
      <w:pPr>
        <w:jc w:val="both"/>
        <w:rPr>
          <w:rFonts w:ascii="Times New Roman" w:hAnsi="Times New Roman"/>
        </w:rPr>
      </w:pPr>
      <w:r>
        <w:rPr>
          <w:rFonts w:ascii="Times New Roman" w:hAnsi="Times New Roman"/>
          <w:sz w:val="20"/>
        </w:rPr>
        <w:t>12.</w:t>
      </w:r>
    </w:p>
    <w:p>
      <w:pPr>
        <w:jc w:val="both"/>
        <w:rPr>
          <w:rFonts w:ascii="Times New Roman" w:hAnsi="Times New Roman"/>
        </w:rPr>
      </w:pPr>
      <w:r>
        <w:rPr>
          <w:rFonts w:ascii="Times New Roman" w:hAnsi="Times New Roman"/>
          <w:sz w:val="20"/>
        </w:rPr>
        <w:t>
                    Lietuvos Respublikos aplinkos ministerija, Įsakymas
                </w:t>
      </w:r>
    </w:p>
    <w:p>
      <w:pPr>
        <w:jc w:val="both"/>
        <w:rPr>
          <w:rFonts w:ascii="Times New Roman" w:hAnsi="Times New Roman"/>
        </w:rPr>
      </w:pPr>
      <w:r>
        <w:rPr>
          <w:rFonts w:ascii="Times New Roman" w:hAnsi="Times New Roman"/>
          <w:sz w:val="20"/>
        </w:rPr>
        <w:t xml:space="preserve">Nr. </w:t>
      </w:r>
      <w:fldSimple w:instr="HYPERLINK https://www.e-tar.lt/portal/legalAct.html?documentId=3ccee0e0a81511e78a4c904b1afa0332">
        <w:r w:rsidRPr="00532B9F">
          <w:rPr>
            <w:rFonts w:ascii="Times New Roman" w:eastAsia="MS Mincho" w:hAnsi="Times New Roman"/>
            <w:sz w:val="20"/>
            <w:iCs/>
            <w:color w:val="0000FF" w:themeColor="hyperlink"/>
            <w:u w:val="single"/>
          </w:rPr>
          <w:t>D1-805</w:t>
        </w:r>
      </w:fldSimple>
      <w:r>
        <w:rPr>
          <w:rFonts w:ascii="Times New Roman" w:eastAsia="MS Mincho" w:hAnsi="Times New Roman"/>
          <w:sz w:val="20"/>
          <w:iCs/>
        </w:rPr>
        <w:t>,
2017-10-02,
paskelbta TAR 2017-10-03, i. k. 2017-15563                </w:t>
      </w:r>
    </w:p>
    <w:p>
      <w:pPr>
        <w:jc w:val="both"/>
        <w:rPr>
          <w:rFonts w:ascii="Times New Roman" w:hAnsi="Times New Roman"/>
        </w:rPr>
      </w:pPr>
      <w:r>
        <w:rPr>
          <w:rFonts w:ascii="Times New Roman" w:hAnsi="Times New Roman"/>
          <w:sz w:val="20"/>
        </w:rPr>
        <w:t>Dėl Lietuvos Respublikos aplinkos ministro 2009 m. lapkričio 10 d. įsakymo Nr. D1-677 „Dėl Daugiabučio namo atnaujinimo (modernizavimo) investicijų plano rengimo tvarkos aprašo patvirtinimo“ pakeitimo</w:t>
      </w:r>
    </w:p>
    <w:p>
      <w:pPr>
        <w:jc w:val="both"/>
        <w:rPr>
          <w:rFonts w:ascii="Times New Roman" w:hAnsi="Times New Roman"/>
          <w:sz w:val="20"/>
        </w:rPr>
      </w:pPr>
    </w:p>
    <w:p>
      <w:pPr>
        <w:jc w:val="both"/>
        <w:rPr>
          <w:rFonts w:ascii="Times New Roman" w:hAnsi="Times New Roman"/>
        </w:rPr>
      </w:pPr>
      <w:r>
        <w:rPr>
          <w:rFonts w:ascii="Times New Roman" w:hAnsi="Times New Roman"/>
          <w:sz w:val="20"/>
        </w:rPr>
        <w:t>13.</w:t>
      </w:r>
    </w:p>
    <w:p>
      <w:pPr>
        <w:jc w:val="both"/>
        <w:rPr>
          <w:rFonts w:ascii="Times New Roman" w:hAnsi="Times New Roman"/>
        </w:rPr>
      </w:pPr>
      <w:r>
        <w:rPr>
          <w:rFonts w:ascii="Times New Roman" w:hAnsi="Times New Roman"/>
          <w:sz w:val="20"/>
        </w:rPr>
        <w:t>
                    Lietuvos Respublikos aplinkos ministerija, Įsakymas
                </w:t>
      </w:r>
    </w:p>
    <w:p>
      <w:pPr>
        <w:jc w:val="both"/>
        <w:rPr>
          <w:rFonts w:ascii="Times New Roman" w:hAnsi="Times New Roman"/>
        </w:rPr>
      </w:pPr>
      <w:r>
        <w:rPr>
          <w:rFonts w:ascii="Times New Roman" w:hAnsi="Times New Roman"/>
          <w:sz w:val="20"/>
        </w:rPr>
        <w:t xml:space="preserve">Nr. </w:t>
      </w:r>
      <w:fldSimple w:instr="HYPERLINK https://www.e-tar.lt/portal/legalAct.html?documentId=c3dc8760fa1f11e8a969c20aa4d38bd4">
        <w:r w:rsidRPr="00532B9F">
          <w:rPr>
            <w:rFonts w:ascii="Times New Roman" w:eastAsia="MS Mincho" w:hAnsi="Times New Roman"/>
            <w:sz w:val="20"/>
            <w:iCs/>
            <w:color w:val="0000FF" w:themeColor="hyperlink"/>
            <w:u w:val="single"/>
          </w:rPr>
          <w:t>D1-1073</w:t>
        </w:r>
      </w:fldSimple>
      <w:r>
        <w:rPr>
          <w:rFonts w:ascii="Times New Roman" w:eastAsia="MS Mincho" w:hAnsi="Times New Roman"/>
          <w:sz w:val="20"/>
          <w:iCs/>
        </w:rPr>
        <w:t>,
2018-12-07,
paskelbta TAR 2018-12-07, i. k. 2018-20118                </w:t>
      </w:r>
    </w:p>
    <w:p>
      <w:pPr>
        <w:jc w:val="both"/>
        <w:rPr>
          <w:rFonts w:ascii="Times New Roman" w:hAnsi="Times New Roman"/>
        </w:rPr>
      </w:pPr>
      <w:r>
        <w:rPr>
          <w:rFonts w:ascii="Times New Roman" w:hAnsi="Times New Roman"/>
          <w:sz w:val="20"/>
        </w:rPr>
        <w:t>Dėl Lietuvos Respublikos aplinkos ministro 2009 m. lapkričio 10 d. įsakymo Nr. D1-677 „Dėl Daugiabučio namo atnaujinimo (modernizavimo) investicijų plano rengimo tvarkos aprašo patvirtinimo“ pakeitimo</w:t>
      </w:r>
    </w:p>
    <w:p>
      <w:pPr>
        <w:jc w:val="both"/>
        <w:rPr>
          <w:rFonts w:ascii="Times New Roman" w:hAnsi="Times New Roman"/>
          <w:sz w:val="20"/>
        </w:rPr>
      </w:pPr>
    </w:p>
    <w:p>
      <w:pPr>
        <w:jc w:val="both"/>
        <w:rPr>
          <w:rFonts w:ascii="Times New Roman" w:hAnsi="Times New Roman"/>
        </w:rPr>
      </w:pPr>
      <w:r>
        <w:rPr>
          <w:rFonts w:ascii="Times New Roman" w:hAnsi="Times New Roman"/>
          <w:sz w:val="20"/>
        </w:rPr>
        <w:t>14.</w:t>
      </w:r>
    </w:p>
    <w:p>
      <w:pPr>
        <w:jc w:val="both"/>
        <w:rPr>
          <w:rFonts w:ascii="Times New Roman" w:hAnsi="Times New Roman"/>
        </w:rPr>
      </w:pPr>
      <w:r>
        <w:rPr>
          <w:rFonts w:ascii="Times New Roman" w:hAnsi="Times New Roman"/>
          <w:sz w:val="20"/>
        </w:rPr>
        <w:t>
                    Lietuvos Respublikos aplinkos ministerija, Įsakymas
                </w:t>
      </w:r>
    </w:p>
    <w:p>
      <w:pPr>
        <w:jc w:val="both"/>
        <w:rPr>
          <w:rFonts w:ascii="Times New Roman" w:hAnsi="Times New Roman"/>
        </w:rPr>
      </w:pPr>
      <w:r>
        <w:rPr>
          <w:rFonts w:ascii="Times New Roman" w:hAnsi="Times New Roman"/>
          <w:sz w:val="20"/>
        </w:rPr>
        <w:t xml:space="preserve">Nr. </w:t>
      </w:r>
      <w:fldSimple w:instr="HYPERLINK https://www.e-tar.lt/portal/legalAct.html?documentId=edc5df10be8011e9840ec0427c781bac">
        <w:r w:rsidRPr="00532B9F">
          <w:rPr>
            <w:rFonts w:ascii="Times New Roman" w:eastAsia="MS Mincho" w:hAnsi="Times New Roman"/>
            <w:sz w:val="20"/>
            <w:iCs/>
            <w:color w:val="0000FF" w:themeColor="hyperlink"/>
            <w:u w:val="single"/>
          </w:rPr>
          <w:t>D1-488</w:t>
        </w:r>
      </w:fldSimple>
      <w:r>
        <w:rPr>
          <w:rFonts w:ascii="Times New Roman" w:eastAsia="MS Mincho" w:hAnsi="Times New Roman"/>
          <w:sz w:val="20"/>
          <w:iCs/>
        </w:rPr>
        <w:t>,
2019-08-14,
paskelbta TAR 2019-08-14, i. k. 2019-13160                </w:t>
      </w:r>
    </w:p>
    <w:p>
      <w:pPr>
        <w:jc w:val="both"/>
        <w:rPr>
          <w:rFonts w:ascii="Times New Roman" w:hAnsi="Times New Roman"/>
        </w:rPr>
      </w:pPr>
      <w:r>
        <w:rPr>
          <w:rFonts w:ascii="Times New Roman" w:hAnsi="Times New Roman"/>
          <w:sz w:val="20"/>
        </w:rPr>
        <w:t>Dėl Lietuvos Respublikos aplinkos ministro 2009 m. lapkričio 10 d. įsakymo Nr. D1-677 „Dėl Daugiabučio namo atnaujinimo (modernizavimo) investicijų plano rengimo tvarkos aprašo patvirtinimo“ pakeitimo</w:t>
      </w:r>
    </w:p>
    <w:p>
      <w:pPr>
        <w:jc w:val="both"/>
        <w:rPr>
          <w:rFonts w:ascii="Times New Roman" w:hAnsi="Times New Roman"/>
          <w:sz w:val="20"/>
        </w:rPr>
      </w:pPr>
    </w:p>
    <w:p>
      <w:pPr>
        <w:widowControl w:val="0"/>
        <w:rPr>
          <w:rFonts w:ascii="Times New Roman" w:hAnsi="Times New Roman"/>
          <w:snapToGrid w:val="0"/>
        </w:rPr>
      </w:pPr>
    </w:p>
    <w:sectPr>
      <w:pgSz w:w="11907" w:h="16840" w:code="9"/>
      <w:pgMar w:top="851" w:right="708" w:bottom="1134" w:left="1701" w:header="709" w:footer="709" w:gutter="0"/>
      <w:cols w:space="708"/>
      <w:docGrid w:linePitch="326"/>
    </w:sectPr>
  </w:body>
</w:document>
</file>

<file path=word/fontTable.xml><?xml version="1.0" encoding="utf-8"?>
<w:fonts xmlns:w="http://schemas.openxmlformats.org/wordprocessingml/2006/main" xmlns:w10="urn:schemas-microsoft-com:office:word" xmlns:w14="http://schemas.microsoft.com/office/word/2010/wordml" xmlns:wpc="http://schemas.microsoft.com/office/word/2010/wordprocessingCanvas" xmlns:wpg="http://schemas.microsoft.com/office/word/2010/wordprocessingGroup" xmlns:mc="http://schemas.openxmlformats.org/markup-compatibility/2006" xmlns:wpi="http://schemas.microsoft.com/office/word/2010/wordprocessingInk" xmlns:o="urn:schemas-microsoft-com:office:office" xmlns:xsi="http://www.w3.org/2001/XMLSchema-instance" xmlns:wne="http://schemas.microsoft.com/office/word/2006/wordml" xmlns:r="http://schemas.openxmlformats.org/officeDocument/2006/relationships" xmlns:wps="http://schemas.microsoft.com/office/word/2010/wordprocessingShape" xmlns:m="http://schemas.openxmlformats.org/officeDocument/2006/math" xmlns:v="urn:schemas-microsoft-com:vml" xmlns:wp14="http://schemas.microsoft.com/office/word/2010/wordprocessingDrawing" xmlns:wp="http://schemas.openxmlformats.org/drawingml/2006/wordprocessingDrawing" mc:Ignorable="w14">
  <w:font w:name="Times New Roman">
    <w:panose1 w:val="02020603050405020304"/>
    <w:charset w:val="BA"/>
    <w:family w:val="roman"/>
    <w:pitch w:val="variable"/>
    <w:sig w:usb0="20002A87" w:usb1="00000000" w:usb2="00000000"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00002FF" w:usb1="4000ACFF" w:usb2="00000001" w:usb3="00000000" w:csb0="0000019F" w:csb1="00000000"/>
  </w:font>
  <w:font w:name="Cambria">
    <w:panose1 w:val="02040503050406030204"/>
    <w:charset w:val="BA"/>
    <w:family w:val="roman"/>
    <w:pitch w:val="variable"/>
    <w:sig w:usb0="E00002FF" w:usb1="400004FF" w:usb2="00000000" w:usb3="00000000" w:csb0="0000019F" w:csb1="00000000"/>
  </w:font>
</w:fonts>
</file>

<file path=word/settings.xml><?xml version="1.0" encoding="utf-8"?>
<w:settings xmlns:w="http://schemas.openxmlformats.org/wordprocessingml/2006/main" xmlns:w10="urn:schemas-microsoft-com:office:word" xmlns:w14="http://schemas.microsoft.com/office/word/2010/wordml" xmlns:wpc="http://schemas.microsoft.com/office/word/2010/wordprocessingCanvas" xmlns:wpg="http://schemas.microsoft.com/office/word/2010/wordprocessingGroup" xmlns:mc="http://schemas.openxmlformats.org/markup-compatibility/2006" xmlns:wpi="http://schemas.microsoft.com/office/word/2010/wordprocessingInk" xmlns:o="urn:schemas-microsoft-com:office:office" xmlns:xsi="http://www.w3.org/2001/XMLSchema-instance" xmlns:wne="http://schemas.microsoft.com/office/word/2006/wordml" xmlns:r="http://schemas.openxmlformats.org/officeDocument/2006/relationships" xmlns:wps="http://schemas.microsoft.com/office/word/2010/wordprocessingShape" xmlns:m="http://schemas.openxmlformats.org/officeDocument/2006/math" xmlns:v="urn:schemas-microsoft-com:vml" xmlns:wp14="http://schemas.microsoft.com/office/word/2010/wordprocessingDrawing" xmlns:wp="http://schemas.openxmlformats.org/drawingml/2006/wordprocessingDrawing" mc:Ignorable="w14">
  <w:zoom w:val="bestFit" w:percent="94"/>
  <w:defaultTabStop w:val="720"/>
  <w:hyphenationZone w:val="396"/>
  <w:doNotHyphenateCaps/>
  <w:drawingGridHorizontalSpacing w:val="120"/>
  <w:drawingGridVerticalSpacing w:val="163"/>
  <w:displayHorizontalDrawingGridEvery w:val="0"/>
  <w:displayVerticalDrawingGridEvery w:val="2"/>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5DA4"/>
  </w:rsids>
  <m:mathPr>
    <m:mathFont m:val="Cambria Math"/>
    <m:brkBin m:val="before"/>
    <m:brkBinSub m:val="--"/>
    <m:smallFrac m:val="0"/>
    <m:dispDef/>
    <m:lMargin m:val="0"/>
    <m:rMargin m:val="0"/>
    <m:defJc m:val="centerGroup"/>
    <m:wrapIndent m:val="1440"/>
    <m:intLim m:val="subSup"/>
    <m:naryLim m:val="undOvr"/>
  </m:mathPr>
  <w:attachedSchema w:val="urn:tic.lt:LLAdmDocST"/>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77B1FC"/>
</w:settings>
</file>

<file path=word/styles.xml><?xml version="1.0" encoding="utf-8"?>
<w:styles xmlns:w="http://schemas.openxmlformats.org/wordprocessingml/2006/main" xmlns:w10="urn:schemas-microsoft-com:office:word" xmlns:w14="http://schemas.microsoft.com/office/word/2010/wordml" xmlns:wpc="http://schemas.microsoft.com/office/word/2010/wordprocessingCanvas" xmlns:wpg="http://schemas.microsoft.com/office/word/2010/wordprocessingGroup" xmlns:mc="http://schemas.openxmlformats.org/markup-compatibility/2006" xmlns:wpi="http://schemas.microsoft.com/office/word/2010/wordprocessingInk" xmlns:o="urn:schemas-microsoft-com:office:office" xmlns:xsi="http://www.w3.org/2001/XMLSchema-instance" xmlns:wne="http://schemas.microsoft.com/office/word/2006/wordml" xmlns:r="http://schemas.openxmlformats.org/officeDocument/2006/relationships" xmlns:wps="http://schemas.microsoft.com/office/word/2010/wordprocessingShape" xmlns:m="http://schemas.openxmlformats.org/officeDocument/2006/math" xmlns:v="urn:schemas-microsoft-com:vml" xmlns:wp14="http://schemas.microsoft.com/office/word/2010/wordprocessingDrawing" xmlns:wp="http://schemas.openxmlformats.org/drawingml/2006/wordprocessingDrawing" mc:Ignorable="w14">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267">
    <w:lsdException w:name="No List" w:uiPriority="99"/>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Vietosrezervavimoenklotekstas">
    <w:name w:val="Placeholder Text"/>
    <w:basedOn w:val="Numatytasispastraiposriftas"/>
    <w:rPr>
      <w:color w:val="808080"/>
    </w:rPr>
  </w:style>
  <w:style w:type="paragraph" w:styleId="Sraopastraipa">
    <w:name w:val="List Paragraph"/>
    <w:basedOn w:val="prastasis"/>
    <w:pPr>
      <w:ind w:left="720"/>
      <w:contextualSpacing/>
    </w:pPr>
  </w:style>
  <w:style w:type="paragraph" w:styleId="Debesliotekstas">
    <w:name w:val="Balloon Text"/>
    <w:basedOn w:val="prastasis"/>
    <w:link w:val="DebesliotekstasDiagrama"/>
    <w:rPr>
      <w:rFonts w:ascii="Tahoma" w:hAnsi="Tahoma" w:cs="Tahoma"/>
      <w:sz w:val="16"/>
      <w:szCs w:val="16"/>
    </w:rPr>
  </w:style>
  <w:style w:type="character" w:customStyle="1" w:styleId="DebesliotekstasDiagrama">
    <w:name w:val="Debesėlio tekstas Diagrama"/>
    <w:basedOn w:val="Numatytasispastraiposriftas"/>
    <w:link w:val="Debesliotekstas"/>
    <w:rPr>
      <w:rFonts w:ascii="Tahoma" w:hAnsi="Tahoma" w:cs="Tahoma"/>
      <w:sz w:val="16"/>
      <w:szCs w:val="16"/>
    </w:rPr>
  </w:style>
</w:styles>
</file>

<file path=word/stylesWithEffects.xml><?xml version="1.0" encoding="utf-8"?>
<w:styles xmlns:w="http://schemas.openxmlformats.org/wordprocessingml/2006/main" xmlns:w10="urn:schemas-microsoft-com:office:word" xmlns:w14="http://schemas.microsoft.com/office/word/2010/wordml" xmlns:wpc="http://schemas.microsoft.com/office/word/2010/wordprocessingCanvas" xmlns:wpg="http://schemas.microsoft.com/office/word/2010/wordprocessingGroup" xmlns:mc="http://schemas.openxmlformats.org/markup-compatibility/2006" xmlns:wpi="http://schemas.microsoft.com/office/word/2010/wordprocessingInk" xmlns:o="urn:schemas-microsoft-com:office:office" xmlns:xsi="http://www.w3.org/2001/XMLSchema-instance" xmlns:wne="http://schemas.microsoft.com/office/word/2006/wordml" xmlns:r="http://schemas.openxmlformats.org/officeDocument/2006/relationships" xmlns:wps="http://schemas.microsoft.com/office/word/2010/wordprocessingShape" xmlns:m="http://schemas.openxmlformats.org/officeDocument/2006/math" xmlns:v="urn:schemas-microsoft-com:vml" xmlns:wp14="http://schemas.microsoft.com/office/word/2010/wordprocessingDrawing" xmlns:wp="http://schemas.openxmlformats.org/drawingml/2006/wordprocessingDrawing" mc:Ignorable="w14 wp14">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267">
    <w:lsdException w:name="No List" w:uiPriority="99"/>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Vietosrezervavimoenklotekstas">
    <w:name w:val="Placeholder Text"/>
    <w:basedOn w:val="Numatytasispastraiposriftas"/>
    <w:rPr>
      <w:color w:val="808080"/>
    </w:rPr>
  </w:style>
  <w:style w:type="paragraph" w:styleId="Sraopastraipa">
    <w:name w:val="List Paragraph"/>
    <w:basedOn w:val="prastasis"/>
    <w:pPr>
      <w:ind w:left="720"/>
      <w:contextualSpacing/>
    </w:pPr>
  </w:style>
  <w:style w:type="paragraph" w:styleId="Debesliotekstas">
    <w:name w:val="Balloon Text"/>
    <w:basedOn w:val="prastasis"/>
    <w:link w:val="DebesliotekstasDiagrama"/>
    <w:rPr>
      <w:rFonts w:ascii="Tahoma" w:hAnsi="Tahoma" w:cs="Tahoma"/>
      <w:sz w:val="16"/>
      <w:szCs w:val="16"/>
    </w:rPr>
  </w:style>
  <w:style w:type="character" w:customStyle="1" w:styleId="DebesliotekstasDiagrama">
    <w:name w:val="Debesėlio tekstas Diagrama"/>
    <w:basedOn w:val="Numatytasispastraiposriftas"/>
    <w:link w:val="Debesliotekstas"/>
    <w:rPr>
      <w:rFonts w:ascii="Tahoma" w:hAnsi="Tahoma" w:cs="Tahoma"/>
      <w:sz w:val="16"/>
      <w:szCs w:val="16"/>
    </w:rPr>
  </w:style>
</w:styles>
</file>

<file path=word/webSettings.xml><?xml version="1.0" encoding="utf-8"?>
<w:webSettings xmlns:w="http://schemas.openxmlformats.org/wordprocessingml/2006/main" xmlns:w10="urn:schemas-microsoft-com:office:word" xmlns:w14="http://schemas.microsoft.com/office/word/2010/wordml" xmlns:wpc="http://schemas.microsoft.com/office/word/2010/wordprocessingCanvas" xmlns:wpg="http://schemas.microsoft.com/office/word/2010/wordprocessingGroup" xmlns:mc="http://schemas.openxmlformats.org/markup-compatibility/2006" xmlns:wpi="http://schemas.microsoft.com/office/word/2010/wordprocessingInk" xmlns:o="urn:schemas-microsoft-com:office:office" xmlns:xsi="http://www.w3.org/2001/XMLSchema-instance" xmlns:wne="http://schemas.microsoft.com/office/word/2006/wordml" xmlns:r="http://schemas.openxmlformats.org/officeDocument/2006/relationships" xmlns:wps="http://schemas.microsoft.com/office/word/2010/wordprocessingShape" xmlns:m="http://schemas.openxmlformats.org/officeDocument/2006/math" xmlns:v="urn:schemas-microsoft-com:vml" xmlns:wp14="http://schemas.microsoft.com/office/word/2010/wordprocessingDrawing" xmlns:wp="http://schemas.openxmlformats.org/drawingml/2006/wordprocessingDrawing" mc:Ignorable="w14">
  <w:optimizeForBrowser/>
</w:webSettings>
</file>

<file path=word/_rels/document.xml.rels><?xml version="1.0" encoding="UTF-8"?>

<Relationships xmlns="http://schemas.openxmlformats.org/package/2006/relationships">
  <Relationship Id="rId1" Type="http://schemas.openxmlformats.org/officeDocument/2006/relationships/fontTable" Target="fontTable.xml"/>
  <Relationship Id="rId2" Type="http://schemas.openxmlformats.org/officeDocument/2006/relationships/settings" Target="settings.xml"/>
  <Relationship Id="rId3" Type="http://schemas.openxmlformats.org/officeDocument/2006/relationships/styles" Target="styles.xml"/>
  <Relationship Id="rId4" Type="http://schemas.microsoft.com/office/2007/relationships/stylesWithEffects" Target="stylesWithEffects.xml"/>
  <Relationship Id="rId5" Type="http://schemas.openxmlformats.org/officeDocument/2006/relationships/theme" Target="theme/theme1.xml"/>
  <Relationship Id="rId6" Type="http://schemas.openxmlformats.org/officeDocument/2006/relationships/webSettings" Target="webSettings.xml"/>
</Relationships>

</file>

<file path=word/activeX/_rels/activeX1.xml.rels><?xml version="1.0" encoding="UTF-8"?>

<Relationships xmlns="http://schemas.openxmlformats.org/package/2006/relationships">
  <Relationship Id="rId1" Type="http://schemas.microsoft.com/office/2006/relationships/activeXControlBinary" Target="activeX1.bin"/>
</Relationships>

</file>

<file path=word/activeX/_rels/activeX2.xml.rels><?xml version="1.0" encoding="UTF-8"?>

<Relationships xmlns="http://schemas.openxmlformats.org/package/2006/relationships">
  <Relationship Id="rId1" Type="http://schemas.microsoft.com/office/2006/relationships/activeXControlBinary" Target="activeX2.bin"/>
</Relationships>

</file>

<file path=word/activeX/activeX1.xml><?xml version="1.0" encoding="utf-8"?>
<ax:ocx xmlns:ax="http://schemas.microsoft.com/office/2006/activeX" xmlns:r="http://schemas.openxmlformats.org/officeDocument/2006/relationships" ax:classid="{868FBE40-B964-453C-BEA2-77F32F2C294F}" ax:persistence="persistStorage" r:id="rId1"/>
</file>

<file path=word/activeX/activeX2.xml><?xml version="1.0" encoding="utf-8"?>
<ax:ocx xmlns:ax="http://schemas.microsoft.com/office/2006/activeX" xmlns:r="http://schemas.openxmlformats.org/officeDocument/2006/relationships" ax:classid="{868FBE40-B964-453C-BEA2-77F32F2C294F}" ax:persistence="persistStorage" r:id="rId1"/>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Template>Normal.dotm</Template>
  <TotalTime>111</TotalTime>
  <Pages>21</Pages>
  <Words>32812</Words>
  <Characters>18704</Characters>
  <Application>Microsoft Office Word</Application>
  <DocSecurity>0</DocSecurity>
  <Lines>155</Lines>
  <Paragraphs>102</Paragraphs>
  <ScaleCrop>false</ScaleCrop>
  <HeadingPairs>
    <vt:vector xmlns:vt="http://schemas.openxmlformats.org/officeDocument/2006/docPropsVTypes" size="2" baseType="variant">
      <vt:variant>
        <vt:lpstr>Pavadinimas</vt:lpstr>
      </vt:variant>
      <vt:variant>
        <vt:i4>1</vt:i4>
      </vt:variant>
    </vt:vector>
  </HeadingPairs>
  <TitlesOfParts>
    <vt:vector xmlns:vt="http://schemas.openxmlformats.org/officeDocument/2006/docPropsVTypes" size="1" baseType="lpstr">
      <vt:lpstr>LIETUVOS RESPUBLIKOS APLINKOS MINISTRO</vt:lpstr>
    </vt:vector>
  </TitlesOfParts>
  <Company>Teisines informacijos centras</Company>
  <LinksUpToDate>false</LinksUpToDate>
  <CharactersWithSpaces>51414</CharactersWithSpaces>
  <SharedDoc>false</SharedDoc>
  <HyperlinkBase/>
  <HyperlinksChanged>false</HyperlinksChanged>
  <AppVersion>14.0000</AppVers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2015-08-18T12:06:00Z</dcterms:created>
  <dc:creator>Sandra</dc:creator>
  <lastModifiedBy>KUČIAUSKIENĖ Simona</lastModifiedBy>
  <dcterms:modified xsi:type="dcterms:W3CDTF">2019-08-16T07:21:00Z</dcterms:modified>
  <revision>33</revision>
  <dc:title>LIETUVOS RESPUBLIKOS APLINKOS MINISTRO</dc:title>
</coreProperties>
</file>